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5C47E" w14:textId="77777777" w:rsidR="00A46821" w:rsidRDefault="00A46821">
      <w:pPr>
        <w:pStyle w:val="BodyText"/>
        <w:spacing w:before="4"/>
        <w:ind w:left="0"/>
        <w:rPr>
          <w:rFonts w:ascii="Times New Roman"/>
          <w:sz w:val="21"/>
        </w:rPr>
      </w:pPr>
    </w:p>
    <w:p w14:paraId="438FFC47" w14:textId="67AD18E4" w:rsidR="00A46821" w:rsidRDefault="005476B5" w:rsidP="0090416B">
      <w:pPr>
        <w:pStyle w:val="Heading1"/>
        <w:spacing w:before="84"/>
      </w:pPr>
      <w:r>
        <w:t>FRINGFORD</w:t>
      </w:r>
      <w:r w:rsidR="0090416B">
        <w:t xml:space="preserve"> PARISH COUNCIL</w:t>
      </w:r>
    </w:p>
    <w:p w14:paraId="05CDF5DB" w14:textId="77777777" w:rsidR="00A46821" w:rsidRDefault="0090416B">
      <w:pPr>
        <w:ind w:left="1144"/>
        <w:rPr>
          <w:b/>
          <w:sz w:val="48"/>
        </w:rPr>
      </w:pPr>
      <w:r>
        <w:rPr>
          <w:b/>
          <w:sz w:val="48"/>
        </w:rPr>
        <w:t>FINANCIAL AND MANAGEMENT RISK ASSESSMENT</w:t>
      </w:r>
    </w:p>
    <w:p w14:paraId="495D7FAA" w14:textId="77777777" w:rsidR="00A46821" w:rsidRDefault="0090416B">
      <w:pPr>
        <w:pStyle w:val="BodyText"/>
        <w:spacing w:before="278"/>
        <w:ind w:right="540"/>
      </w:pPr>
      <w:r>
        <w:t>Risk assessment is a systematic general examination of business activities and operations (including working conditions) that will enable the Council to identify any and all potential risks inherent in those activities and operations. Based on a recorded assessment, the Council should then take all necessary steps to eliminate or, where this is not possible reduce the risks, insofar as is reasonably practicable to do so.</w:t>
      </w:r>
    </w:p>
    <w:p w14:paraId="22F783F0" w14:textId="77777777" w:rsidR="00A46821" w:rsidRDefault="0090416B">
      <w:pPr>
        <w:pStyle w:val="BodyText"/>
        <w:ind w:right="229"/>
      </w:pPr>
      <w:r>
        <w:t>This document has been produced to enable the Parish Council to assess the financial, management and other business risks that it faces and to satisfy itself and others that it has taken adequate steps to control them. In conducting this exercise, the following plan was followed:</w:t>
      </w:r>
    </w:p>
    <w:p w14:paraId="0C8D463D" w14:textId="77777777" w:rsidR="00A46821" w:rsidRDefault="0090416B">
      <w:pPr>
        <w:pStyle w:val="BodyText"/>
        <w:tabs>
          <w:tab w:val="left" w:pos="601"/>
        </w:tabs>
      </w:pPr>
      <w:r>
        <w:rPr>
          <w:rFonts w:ascii="Wingdings" w:hAnsi="Wingdings"/>
          <w:w w:val="220"/>
        </w:rPr>
        <w:t></w:t>
      </w:r>
      <w:r>
        <w:rPr>
          <w:rFonts w:ascii="Times New Roman" w:hAnsi="Times New Roman"/>
          <w:w w:val="220"/>
        </w:rPr>
        <w:tab/>
      </w:r>
      <w:r>
        <w:rPr>
          <w:w w:val="110"/>
        </w:rPr>
        <w:t>Identify</w:t>
      </w:r>
      <w:r>
        <w:rPr>
          <w:spacing w:val="-12"/>
          <w:w w:val="110"/>
        </w:rPr>
        <w:t xml:space="preserve"> </w:t>
      </w:r>
      <w:r>
        <w:rPr>
          <w:w w:val="110"/>
        </w:rPr>
        <w:t>the</w:t>
      </w:r>
      <w:r>
        <w:rPr>
          <w:spacing w:val="-9"/>
          <w:w w:val="110"/>
        </w:rPr>
        <w:t xml:space="preserve"> </w:t>
      </w:r>
      <w:r>
        <w:rPr>
          <w:w w:val="110"/>
        </w:rPr>
        <w:t>activities</w:t>
      </w:r>
      <w:r>
        <w:rPr>
          <w:spacing w:val="-8"/>
          <w:w w:val="110"/>
        </w:rPr>
        <w:t xml:space="preserve"> </w:t>
      </w:r>
      <w:r>
        <w:rPr>
          <w:w w:val="110"/>
        </w:rPr>
        <w:t>and</w:t>
      </w:r>
      <w:r>
        <w:rPr>
          <w:spacing w:val="-9"/>
          <w:w w:val="110"/>
        </w:rPr>
        <w:t xml:space="preserve"> </w:t>
      </w:r>
      <w:r>
        <w:rPr>
          <w:w w:val="110"/>
        </w:rPr>
        <w:t>operations</w:t>
      </w:r>
      <w:r>
        <w:rPr>
          <w:spacing w:val="-8"/>
          <w:w w:val="110"/>
        </w:rPr>
        <w:t xml:space="preserve"> </w:t>
      </w:r>
      <w:r>
        <w:rPr>
          <w:w w:val="110"/>
        </w:rPr>
        <w:t>to</w:t>
      </w:r>
      <w:r>
        <w:rPr>
          <w:spacing w:val="-9"/>
          <w:w w:val="110"/>
        </w:rPr>
        <w:t xml:space="preserve"> </w:t>
      </w:r>
      <w:r>
        <w:rPr>
          <w:w w:val="110"/>
        </w:rPr>
        <w:t>be</w:t>
      </w:r>
      <w:r>
        <w:rPr>
          <w:spacing w:val="-9"/>
          <w:w w:val="110"/>
        </w:rPr>
        <w:t xml:space="preserve"> </w:t>
      </w:r>
      <w:r>
        <w:rPr>
          <w:w w:val="110"/>
        </w:rPr>
        <w:t>reviewed</w:t>
      </w:r>
    </w:p>
    <w:p w14:paraId="22CC408B" w14:textId="77777777" w:rsidR="00A46821" w:rsidRDefault="0090416B">
      <w:pPr>
        <w:pStyle w:val="BodyText"/>
        <w:tabs>
          <w:tab w:val="left" w:pos="601"/>
        </w:tabs>
      </w:pPr>
      <w:r>
        <w:rPr>
          <w:rFonts w:ascii="Wingdings" w:hAnsi="Wingdings"/>
          <w:w w:val="220"/>
        </w:rPr>
        <w:t></w:t>
      </w:r>
      <w:r>
        <w:rPr>
          <w:rFonts w:ascii="Times New Roman" w:hAnsi="Times New Roman"/>
          <w:w w:val="220"/>
        </w:rPr>
        <w:tab/>
      </w:r>
      <w:r>
        <w:rPr>
          <w:w w:val="105"/>
        </w:rPr>
        <w:t>Identify</w:t>
      </w:r>
      <w:r>
        <w:rPr>
          <w:spacing w:val="-12"/>
          <w:w w:val="105"/>
        </w:rPr>
        <w:t xml:space="preserve"> </w:t>
      </w:r>
      <w:r>
        <w:rPr>
          <w:w w:val="105"/>
        </w:rPr>
        <w:t>the</w:t>
      </w:r>
      <w:r>
        <w:rPr>
          <w:spacing w:val="-8"/>
          <w:w w:val="105"/>
        </w:rPr>
        <w:t xml:space="preserve"> </w:t>
      </w:r>
      <w:r>
        <w:rPr>
          <w:w w:val="105"/>
        </w:rPr>
        <w:t>hazards</w:t>
      </w:r>
      <w:r>
        <w:rPr>
          <w:spacing w:val="-6"/>
          <w:w w:val="105"/>
        </w:rPr>
        <w:t xml:space="preserve"> </w:t>
      </w:r>
      <w:r>
        <w:rPr>
          <w:w w:val="105"/>
        </w:rPr>
        <w:t>and</w:t>
      </w:r>
      <w:r>
        <w:rPr>
          <w:spacing w:val="-8"/>
          <w:w w:val="105"/>
        </w:rPr>
        <w:t xml:space="preserve"> </w:t>
      </w:r>
      <w:r>
        <w:rPr>
          <w:w w:val="105"/>
        </w:rPr>
        <w:t>determine</w:t>
      </w:r>
      <w:r>
        <w:rPr>
          <w:spacing w:val="-9"/>
          <w:w w:val="105"/>
        </w:rPr>
        <w:t xml:space="preserve"> </w:t>
      </w:r>
      <w:r>
        <w:rPr>
          <w:w w:val="105"/>
        </w:rPr>
        <w:t>the</w:t>
      </w:r>
      <w:r>
        <w:rPr>
          <w:spacing w:val="-6"/>
          <w:w w:val="105"/>
        </w:rPr>
        <w:t xml:space="preserve"> </w:t>
      </w:r>
      <w:r>
        <w:rPr>
          <w:w w:val="105"/>
        </w:rPr>
        <w:t>nature</w:t>
      </w:r>
      <w:r>
        <w:rPr>
          <w:spacing w:val="-8"/>
          <w:w w:val="105"/>
        </w:rPr>
        <w:t xml:space="preserve"> </w:t>
      </w:r>
      <w:r>
        <w:rPr>
          <w:w w:val="105"/>
        </w:rPr>
        <w:t>(who</w:t>
      </w:r>
      <w:r>
        <w:rPr>
          <w:spacing w:val="-9"/>
          <w:w w:val="105"/>
        </w:rPr>
        <w:t xml:space="preserve"> </w:t>
      </w:r>
      <w:r>
        <w:rPr>
          <w:w w:val="105"/>
        </w:rPr>
        <w:t>is</w:t>
      </w:r>
      <w:r>
        <w:rPr>
          <w:spacing w:val="-7"/>
          <w:w w:val="105"/>
        </w:rPr>
        <w:t xml:space="preserve"> </w:t>
      </w:r>
      <w:r>
        <w:rPr>
          <w:w w:val="105"/>
        </w:rPr>
        <w:t>at</w:t>
      </w:r>
      <w:r>
        <w:rPr>
          <w:spacing w:val="-7"/>
          <w:w w:val="105"/>
        </w:rPr>
        <w:t xml:space="preserve"> </w:t>
      </w:r>
      <w:r>
        <w:rPr>
          <w:w w:val="105"/>
        </w:rPr>
        <w:t>risk,</w:t>
      </w:r>
      <w:r>
        <w:rPr>
          <w:spacing w:val="-8"/>
          <w:w w:val="105"/>
        </w:rPr>
        <w:t xml:space="preserve"> </w:t>
      </w:r>
      <w:r>
        <w:rPr>
          <w:w w:val="105"/>
        </w:rPr>
        <w:t>from</w:t>
      </w:r>
      <w:r>
        <w:rPr>
          <w:spacing w:val="-3"/>
          <w:w w:val="105"/>
        </w:rPr>
        <w:t xml:space="preserve"> </w:t>
      </w:r>
      <w:r>
        <w:rPr>
          <w:w w:val="105"/>
        </w:rPr>
        <w:t>what</w:t>
      </w:r>
      <w:r>
        <w:rPr>
          <w:spacing w:val="-7"/>
          <w:w w:val="105"/>
        </w:rPr>
        <w:t xml:space="preserve"> </w:t>
      </w:r>
      <w:r>
        <w:rPr>
          <w:w w:val="105"/>
        </w:rPr>
        <w:t>and</w:t>
      </w:r>
      <w:r>
        <w:rPr>
          <w:spacing w:val="-6"/>
          <w:w w:val="105"/>
        </w:rPr>
        <w:t xml:space="preserve"> </w:t>
      </w:r>
      <w:r>
        <w:rPr>
          <w:w w:val="105"/>
        </w:rPr>
        <w:t>how)</w:t>
      </w:r>
      <w:r>
        <w:rPr>
          <w:spacing w:val="-8"/>
          <w:w w:val="105"/>
        </w:rPr>
        <w:t xml:space="preserve"> </w:t>
      </w:r>
      <w:r>
        <w:rPr>
          <w:w w:val="105"/>
        </w:rPr>
        <w:t>of</w:t>
      </w:r>
      <w:r>
        <w:rPr>
          <w:spacing w:val="-6"/>
          <w:w w:val="105"/>
        </w:rPr>
        <w:t xml:space="preserve"> </w:t>
      </w:r>
      <w:r>
        <w:rPr>
          <w:w w:val="105"/>
        </w:rPr>
        <w:t>the</w:t>
      </w:r>
      <w:r>
        <w:rPr>
          <w:spacing w:val="-8"/>
          <w:w w:val="105"/>
        </w:rPr>
        <w:t xml:space="preserve"> </w:t>
      </w:r>
      <w:r>
        <w:rPr>
          <w:w w:val="105"/>
        </w:rPr>
        <w:t>risks</w:t>
      </w:r>
      <w:r>
        <w:rPr>
          <w:spacing w:val="-8"/>
          <w:w w:val="105"/>
        </w:rPr>
        <w:t xml:space="preserve"> </w:t>
      </w:r>
      <w:r>
        <w:rPr>
          <w:w w:val="105"/>
        </w:rPr>
        <w:t>they</w:t>
      </w:r>
      <w:r>
        <w:rPr>
          <w:spacing w:val="-9"/>
          <w:w w:val="105"/>
        </w:rPr>
        <w:t xml:space="preserve"> </w:t>
      </w:r>
      <w:r>
        <w:rPr>
          <w:w w:val="105"/>
        </w:rPr>
        <w:t>present</w:t>
      </w:r>
    </w:p>
    <w:p w14:paraId="10D4D8AF" w14:textId="77777777" w:rsidR="00A46821" w:rsidRDefault="0090416B">
      <w:pPr>
        <w:pStyle w:val="BodyText"/>
        <w:tabs>
          <w:tab w:val="left" w:pos="601"/>
        </w:tabs>
        <w:spacing w:before="1"/>
      </w:pPr>
      <w:r>
        <w:rPr>
          <w:rFonts w:ascii="Wingdings" w:hAnsi="Wingdings"/>
          <w:w w:val="220"/>
        </w:rPr>
        <w:t></w:t>
      </w:r>
      <w:r>
        <w:rPr>
          <w:rFonts w:ascii="Times New Roman" w:hAnsi="Times New Roman"/>
          <w:w w:val="220"/>
        </w:rPr>
        <w:tab/>
      </w:r>
      <w:r>
        <w:rPr>
          <w:w w:val="105"/>
        </w:rPr>
        <w:t>Eliminate</w:t>
      </w:r>
      <w:r>
        <w:rPr>
          <w:spacing w:val="-13"/>
          <w:w w:val="105"/>
        </w:rPr>
        <w:t xml:space="preserve"> </w:t>
      </w:r>
      <w:r>
        <w:rPr>
          <w:w w:val="105"/>
        </w:rPr>
        <w:t>risks</w:t>
      </w:r>
      <w:r>
        <w:rPr>
          <w:spacing w:val="-12"/>
          <w:w w:val="105"/>
        </w:rPr>
        <w:t xml:space="preserve"> </w:t>
      </w:r>
      <w:r>
        <w:rPr>
          <w:w w:val="105"/>
        </w:rPr>
        <w:t>where</w:t>
      </w:r>
      <w:r>
        <w:rPr>
          <w:spacing w:val="-11"/>
          <w:w w:val="105"/>
        </w:rPr>
        <w:t xml:space="preserve"> </w:t>
      </w:r>
      <w:r>
        <w:rPr>
          <w:w w:val="105"/>
        </w:rPr>
        <w:t>possible</w:t>
      </w:r>
      <w:r>
        <w:rPr>
          <w:spacing w:val="-11"/>
          <w:w w:val="105"/>
        </w:rPr>
        <w:t xml:space="preserve"> </w:t>
      </w:r>
      <w:r>
        <w:rPr>
          <w:w w:val="105"/>
        </w:rPr>
        <w:t>and</w:t>
      </w:r>
      <w:r>
        <w:rPr>
          <w:spacing w:val="-13"/>
          <w:w w:val="105"/>
        </w:rPr>
        <w:t xml:space="preserve"> </w:t>
      </w:r>
      <w:r>
        <w:rPr>
          <w:w w:val="105"/>
        </w:rPr>
        <w:t>implement</w:t>
      </w:r>
      <w:r>
        <w:rPr>
          <w:spacing w:val="-13"/>
          <w:w w:val="105"/>
        </w:rPr>
        <w:t xml:space="preserve"> </w:t>
      </w:r>
      <w:r>
        <w:rPr>
          <w:w w:val="105"/>
        </w:rPr>
        <w:t>appropriate</w:t>
      </w:r>
      <w:r>
        <w:rPr>
          <w:spacing w:val="-12"/>
          <w:w w:val="105"/>
        </w:rPr>
        <w:t xml:space="preserve"> </w:t>
      </w:r>
      <w:r>
        <w:rPr>
          <w:w w:val="105"/>
        </w:rPr>
        <w:t>risk</w:t>
      </w:r>
      <w:r>
        <w:rPr>
          <w:spacing w:val="-10"/>
          <w:w w:val="105"/>
        </w:rPr>
        <w:t xml:space="preserve"> </w:t>
      </w:r>
      <w:r>
        <w:rPr>
          <w:w w:val="105"/>
        </w:rPr>
        <w:t>control</w:t>
      </w:r>
      <w:r>
        <w:rPr>
          <w:spacing w:val="-13"/>
          <w:w w:val="105"/>
        </w:rPr>
        <w:t xml:space="preserve"> </w:t>
      </w:r>
      <w:r>
        <w:rPr>
          <w:w w:val="105"/>
        </w:rPr>
        <w:t>strategies</w:t>
      </w:r>
      <w:r>
        <w:rPr>
          <w:spacing w:val="-6"/>
          <w:w w:val="105"/>
        </w:rPr>
        <w:t xml:space="preserve"> </w:t>
      </w:r>
      <w:r>
        <w:rPr>
          <w:w w:val="105"/>
        </w:rPr>
        <w:t>to</w:t>
      </w:r>
      <w:r>
        <w:rPr>
          <w:spacing w:val="-13"/>
          <w:w w:val="105"/>
        </w:rPr>
        <w:t xml:space="preserve"> </w:t>
      </w:r>
      <w:r>
        <w:rPr>
          <w:w w:val="105"/>
        </w:rPr>
        <w:t>manage</w:t>
      </w:r>
      <w:r>
        <w:rPr>
          <w:spacing w:val="-13"/>
          <w:w w:val="105"/>
        </w:rPr>
        <w:t xml:space="preserve"> </w:t>
      </w:r>
      <w:r>
        <w:rPr>
          <w:w w:val="105"/>
        </w:rPr>
        <w:t>the</w:t>
      </w:r>
      <w:r>
        <w:rPr>
          <w:spacing w:val="-13"/>
          <w:w w:val="105"/>
        </w:rPr>
        <w:t xml:space="preserve"> </w:t>
      </w:r>
      <w:r>
        <w:rPr>
          <w:w w:val="105"/>
        </w:rPr>
        <w:t>residual</w:t>
      </w:r>
      <w:r>
        <w:rPr>
          <w:spacing w:val="-13"/>
          <w:w w:val="105"/>
        </w:rPr>
        <w:t xml:space="preserve"> </w:t>
      </w:r>
      <w:r>
        <w:rPr>
          <w:w w:val="105"/>
        </w:rPr>
        <w:t>risks</w:t>
      </w:r>
      <w:r>
        <w:rPr>
          <w:spacing w:val="-12"/>
          <w:w w:val="105"/>
        </w:rPr>
        <w:t xml:space="preserve"> </w:t>
      </w:r>
      <w:r>
        <w:rPr>
          <w:w w:val="105"/>
        </w:rPr>
        <w:t>record</w:t>
      </w:r>
      <w:r>
        <w:rPr>
          <w:spacing w:val="-13"/>
          <w:w w:val="105"/>
        </w:rPr>
        <w:t xml:space="preserve"> </w:t>
      </w:r>
      <w:r>
        <w:rPr>
          <w:w w:val="105"/>
        </w:rPr>
        <w:t>all</w:t>
      </w:r>
      <w:r>
        <w:rPr>
          <w:spacing w:val="-11"/>
          <w:w w:val="105"/>
        </w:rPr>
        <w:t xml:space="preserve"> </w:t>
      </w:r>
      <w:r>
        <w:rPr>
          <w:w w:val="105"/>
        </w:rPr>
        <w:t>findings.</w:t>
      </w:r>
    </w:p>
    <w:p w14:paraId="5089704A" w14:textId="77777777" w:rsidR="00A46821" w:rsidRDefault="0090416B">
      <w:pPr>
        <w:pStyle w:val="BodyText"/>
        <w:tabs>
          <w:tab w:val="left" w:pos="601"/>
        </w:tabs>
      </w:pPr>
      <w:r>
        <w:rPr>
          <w:rFonts w:ascii="Wingdings" w:hAnsi="Wingdings"/>
          <w:w w:val="220"/>
        </w:rPr>
        <w:t></w:t>
      </w:r>
      <w:r>
        <w:rPr>
          <w:rFonts w:ascii="Times New Roman" w:hAnsi="Times New Roman"/>
          <w:w w:val="220"/>
        </w:rPr>
        <w:tab/>
      </w:r>
      <w:r>
        <w:rPr>
          <w:w w:val="110"/>
        </w:rPr>
        <w:t>Record</w:t>
      </w:r>
      <w:r>
        <w:rPr>
          <w:spacing w:val="-10"/>
          <w:w w:val="110"/>
        </w:rPr>
        <w:t xml:space="preserve"> </w:t>
      </w:r>
      <w:r>
        <w:rPr>
          <w:w w:val="110"/>
        </w:rPr>
        <w:t>all</w:t>
      </w:r>
      <w:r>
        <w:rPr>
          <w:spacing w:val="-11"/>
          <w:w w:val="110"/>
        </w:rPr>
        <w:t xml:space="preserve"> </w:t>
      </w:r>
      <w:r>
        <w:rPr>
          <w:w w:val="110"/>
        </w:rPr>
        <w:t>findings,</w:t>
      </w:r>
      <w:r>
        <w:rPr>
          <w:spacing w:val="-10"/>
          <w:w w:val="110"/>
        </w:rPr>
        <w:t xml:space="preserve"> </w:t>
      </w:r>
      <w:r>
        <w:rPr>
          <w:w w:val="110"/>
        </w:rPr>
        <w:t>regularly</w:t>
      </w:r>
      <w:r>
        <w:rPr>
          <w:spacing w:val="-12"/>
          <w:w w:val="110"/>
        </w:rPr>
        <w:t xml:space="preserve"> </w:t>
      </w:r>
      <w:r>
        <w:rPr>
          <w:w w:val="110"/>
        </w:rPr>
        <w:t>monitor</w:t>
      </w:r>
      <w:r>
        <w:rPr>
          <w:spacing w:val="-7"/>
          <w:w w:val="110"/>
        </w:rPr>
        <w:t xml:space="preserve"> </w:t>
      </w:r>
      <w:r>
        <w:rPr>
          <w:w w:val="110"/>
        </w:rPr>
        <w:t>and</w:t>
      </w:r>
      <w:r>
        <w:rPr>
          <w:spacing w:val="-8"/>
          <w:w w:val="110"/>
        </w:rPr>
        <w:t xml:space="preserve"> </w:t>
      </w:r>
      <w:r>
        <w:rPr>
          <w:w w:val="110"/>
        </w:rPr>
        <w:t>review</w:t>
      </w:r>
      <w:r>
        <w:rPr>
          <w:spacing w:val="-10"/>
          <w:w w:val="110"/>
        </w:rPr>
        <w:t xml:space="preserve"> </w:t>
      </w:r>
      <w:r>
        <w:rPr>
          <w:w w:val="110"/>
        </w:rPr>
        <w:t>as</w:t>
      </w:r>
      <w:r>
        <w:rPr>
          <w:spacing w:val="-9"/>
          <w:w w:val="110"/>
        </w:rPr>
        <w:t xml:space="preserve"> </w:t>
      </w:r>
      <w:r>
        <w:rPr>
          <w:w w:val="110"/>
        </w:rPr>
        <w:t>necessary</w:t>
      </w:r>
    </w:p>
    <w:p w14:paraId="43A5A1FF" w14:textId="77777777" w:rsidR="00A46821" w:rsidRDefault="00A46821">
      <w:pPr>
        <w:pStyle w:val="BodyText"/>
        <w:spacing w:before="1"/>
        <w:ind w:left="0"/>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121"/>
        <w:gridCol w:w="1416"/>
        <w:gridCol w:w="4853"/>
        <w:gridCol w:w="2835"/>
      </w:tblGrid>
      <w:tr w:rsidR="00A46821" w14:paraId="7213CCEF" w14:textId="77777777">
        <w:trPr>
          <w:trHeight w:val="424"/>
        </w:trPr>
        <w:tc>
          <w:tcPr>
            <w:tcW w:w="1952" w:type="dxa"/>
          </w:tcPr>
          <w:p w14:paraId="444488AE" w14:textId="77777777" w:rsidR="00A46821" w:rsidRDefault="0090416B">
            <w:pPr>
              <w:pStyle w:val="TableParagraph"/>
              <w:spacing w:line="271" w:lineRule="exact"/>
              <w:ind w:left="107"/>
              <w:rPr>
                <w:b/>
                <w:sz w:val="24"/>
              </w:rPr>
            </w:pPr>
            <w:r>
              <w:rPr>
                <w:b/>
                <w:sz w:val="24"/>
              </w:rPr>
              <w:t>Category</w:t>
            </w:r>
          </w:p>
        </w:tc>
        <w:tc>
          <w:tcPr>
            <w:tcW w:w="3121" w:type="dxa"/>
          </w:tcPr>
          <w:p w14:paraId="143C5B46" w14:textId="77777777" w:rsidR="00A46821" w:rsidRDefault="0090416B">
            <w:pPr>
              <w:pStyle w:val="TableParagraph"/>
              <w:spacing w:line="271" w:lineRule="exact"/>
              <w:ind w:left="107"/>
              <w:rPr>
                <w:b/>
                <w:sz w:val="24"/>
              </w:rPr>
            </w:pPr>
            <w:r>
              <w:rPr>
                <w:b/>
                <w:sz w:val="24"/>
              </w:rPr>
              <w:t>Risk</w:t>
            </w:r>
          </w:p>
        </w:tc>
        <w:tc>
          <w:tcPr>
            <w:tcW w:w="1416" w:type="dxa"/>
          </w:tcPr>
          <w:p w14:paraId="6A863AA8" w14:textId="77777777" w:rsidR="00A46821" w:rsidRDefault="0090416B">
            <w:pPr>
              <w:pStyle w:val="TableParagraph"/>
              <w:spacing w:line="271" w:lineRule="exact"/>
              <w:ind w:left="107"/>
              <w:rPr>
                <w:b/>
                <w:sz w:val="24"/>
              </w:rPr>
            </w:pPr>
            <w:r>
              <w:rPr>
                <w:b/>
                <w:sz w:val="24"/>
              </w:rPr>
              <w:t>Likelihood</w:t>
            </w:r>
          </w:p>
        </w:tc>
        <w:tc>
          <w:tcPr>
            <w:tcW w:w="4853" w:type="dxa"/>
          </w:tcPr>
          <w:p w14:paraId="3A854202" w14:textId="77777777" w:rsidR="00A46821" w:rsidRDefault="0090416B">
            <w:pPr>
              <w:pStyle w:val="TableParagraph"/>
              <w:spacing w:line="271" w:lineRule="exact"/>
              <w:ind w:left="107"/>
              <w:rPr>
                <w:b/>
                <w:sz w:val="24"/>
              </w:rPr>
            </w:pPr>
            <w:r>
              <w:rPr>
                <w:b/>
                <w:sz w:val="24"/>
              </w:rPr>
              <w:t>Control Measure</w:t>
            </w:r>
          </w:p>
        </w:tc>
        <w:tc>
          <w:tcPr>
            <w:tcW w:w="2835" w:type="dxa"/>
          </w:tcPr>
          <w:p w14:paraId="25420DB0" w14:textId="77777777" w:rsidR="00A46821" w:rsidRDefault="0090416B">
            <w:pPr>
              <w:pStyle w:val="TableParagraph"/>
              <w:spacing w:line="271" w:lineRule="exact"/>
              <w:ind w:left="107"/>
              <w:rPr>
                <w:b/>
                <w:sz w:val="24"/>
              </w:rPr>
            </w:pPr>
            <w:r>
              <w:rPr>
                <w:b/>
                <w:sz w:val="24"/>
              </w:rPr>
              <w:t>Comments</w:t>
            </w:r>
          </w:p>
        </w:tc>
      </w:tr>
      <w:tr w:rsidR="00A46821" w14:paraId="77FFA52F" w14:textId="77777777">
        <w:trPr>
          <w:trHeight w:val="2896"/>
        </w:trPr>
        <w:tc>
          <w:tcPr>
            <w:tcW w:w="1952" w:type="dxa"/>
          </w:tcPr>
          <w:p w14:paraId="7CA9EF45" w14:textId="77777777" w:rsidR="00A46821" w:rsidRDefault="0090416B">
            <w:pPr>
              <w:pStyle w:val="TableParagraph"/>
              <w:spacing w:line="227" w:lineRule="exact"/>
              <w:ind w:left="107"/>
              <w:rPr>
                <w:sz w:val="20"/>
              </w:rPr>
            </w:pPr>
            <w:r>
              <w:rPr>
                <w:sz w:val="20"/>
              </w:rPr>
              <w:t>Business continuity</w:t>
            </w:r>
          </w:p>
        </w:tc>
        <w:tc>
          <w:tcPr>
            <w:tcW w:w="3121" w:type="dxa"/>
          </w:tcPr>
          <w:p w14:paraId="1E4D336A" w14:textId="77777777" w:rsidR="00A46821" w:rsidRDefault="0090416B">
            <w:pPr>
              <w:pStyle w:val="TableParagraph"/>
              <w:numPr>
                <w:ilvl w:val="0"/>
                <w:numId w:val="4"/>
              </w:numPr>
              <w:tabs>
                <w:tab w:val="left" w:pos="359"/>
              </w:tabs>
              <w:ind w:right="172" w:firstLine="0"/>
              <w:rPr>
                <w:sz w:val="18"/>
              </w:rPr>
            </w:pPr>
            <w:r>
              <w:rPr>
                <w:sz w:val="18"/>
              </w:rPr>
              <w:t>Risk of Council not being able</w:t>
            </w:r>
            <w:r>
              <w:rPr>
                <w:spacing w:val="-16"/>
                <w:sz w:val="18"/>
              </w:rPr>
              <w:t xml:space="preserve"> </w:t>
            </w:r>
            <w:r>
              <w:rPr>
                <w:sz w:val="18"/>
              </w:rPr>
              <w:t>to continue its business due to an unexpected or tragic</w:t>
            </w:r>
            <w:r>
              <w:rPr>
                <w:spacing w:val="-9"/>
                <w:sz w:val="18"/>
              </w:rPr>
              <w:t xml:space="preserve"> </w:t>
            </w:r>
            <w:r>
              <w:rPr>
                <w:sz w:val="18"/>
              </w:rPr>
              <w:t>circumstance</w:t>
            </w:r>
          </w:p>
          <w:p w14:paraId="12BA1B0A" w14:textId="77777777" w:rsidR="00A46821" w:rsidRDefault="00A46821">
            <w:pPr>
              <w:pStyle w:val="TableParagraph"/>
              <w:rPr>
                <w:sz w:val="20"/>
              </w:rPr>
            </w:pPr>
          </w:p>
          <w:p w14:paraId="08AC0496" w14:textId="77777777" w:rsidR="00A46821" w:rsidRDefault="00A46821">
            <w:pPr>
              <w:pStyle w:val="TableParagraph"/>
              <w:spacing w:before="10"/>
              <w:rPr>
                <w:sz w:val="15"/>
              </w:rPr>
            </w:pPr>
          </w:p>
          <w:p w14:paraId="4A389993" w14:textId="77777777" w:rsidR="00A46821" w:rsidRDefault="0090416B">
            <w:pPr>
              <w:pStyle w:val="TableParagraph"/>
              <w:numPr>
                <w:ilvl w:val="0"/>
                <w:numId w:val="4"/>
              </w:numPr>
              <w:tabs>
                <w:tab w:val="left" w:pos="359"/>
              </w:tabs>
              <w:ind w:right="381" w:firstLine="0"/>
              <w:rPr>
                <w:sz w:val="18"/>
              </w:rPr>
            </w:pPr>
            <w:r>
              <w:rPr>
                <w:sz w:val="18"/>
              </w:rPr>
              <w:t>Precept and / or other</w:t>
            </w:r>
            <w:r>
              <w:rPr>
                <w:spacing w:val="-12"/>
                <w:sz w:val="18"/>
              </w:rPr>
              <w:t xml:space="preserve"> </w:t>
            </w:r>
            <w:r>
              <w:rPr>
                <w:sz w:val="18"/>
              </w:rPr>
              <w:t>income not</w:t>
            </w:r>
            <w:r>
              <w:rPr>
                <w:spacing w:val="-1"/>
                <w:sz w:val="18"/>
              </w:rPr>
              <w:t xml:space="preserve"> </w:t>
            </w:r>
            <w:r>
              <w:rPr>
                <w:sz w:val="18"/>
              </w:rPr>
              <w:t>received</w:t>
            </w:r>
          </w:p>
          <w:p w14:paraId="7868873F" w14:textId="77777777" w:rsidR="00A46821" w:rsidRDefault="00A46821">
            <w:pPr>
              <w:pStyle w:val="TableParagraph"/>
              <w:rPr>
                <w:sz w:val="20"/>
              </w:rPr>
            </w:pPr>
          </w:p>
          <w:p w14:paraId="5D197CD6" w14:textId="77777777" w:rsidR="00A46821" w:rsidRDefault="00A46821">
            <w:pPr>
              <w:pStyle w:val="TableParagraph"/>
              <w:rPr>
                <w:sz w:val="16"/>
              </w:rPr>
            </w:pPr>
          </w:p>
          <w:p w14:paraId="46104A18" w14:textId="77777777" w:rsidR="00A46821" w:rsidRDefault="0090416B">
            <w:pPr>
              <w:pStyle w:val="TableParagraph"/>
              <w:numPr>
                <w:ilvl w:val="0"/>
                <w:numId w:val="4"/>
              </w:numPr>
              <w:tabs>
                <w:tab w:val="left" w:pos="360"/>
              </w:tabs>
              <w:ind w:left="359"/>
              <w:rPr>
                <w:sz w:val="18"/>
              </w:rPr>
            </w:pPr>
            <w:r>
              <w:rPr>
                <w:sz w:val="18"/>
              </w:rPr>
              <w:t>Loss of documents and / or</w:t>
            </w:r>
            <w:r>
              <w:rPr>
                <w:spacing w:val="-11"/>
                <w:sz w:val="18"/>
              </w:rPr>
              <w:t xml:space="preserve"> </w:t>
            </w:r>
            <w:r>
              <w:rPr>
                <w:sz w:val="18"/>
              </w:rPr>
              <w:t>data</w:t>
            </w:r>
          </w:p>
          <w:p w14:paraId="207F431B" w14:textId="77777777" w:rsidR="009F024F" w:rsidRDefault="009F024F" w:rsidP="009F024F">
            <w:pPr>
              <w:pStyle w:val="TableParagraph"/>
              <w:tabs>
                <w:tab w:val="left" w:pos="360"/>
              </w:tabs>
              <w:rPr>
                <w:sz w:val="18"/>
              </w:rPr>
            </w:pPr>
          </w:p>
          <w:p w14:paraId="65259AF2" w14:textId="77777777" w:rsidR="009F024F" w:rsidRDefault="009F024F" w:rsidP="009F024F">
            <w:pPr>
              <w:pStyle w:val="TableParagraph"/>
              <w:tabs>
                <w:tab w:val="left" w:pos="360"/>
              </w:tabs>
              <w:rPr>
                <w:sz w:val="18"/>
              </w:rPr>
            </w:pPr>
          </w:p>
          <w:p w14:paraId="59D1ED6C" w14:textId="77777777" w:rsidR="009F024F" w:rsidRDefault="009F024F" w:rsidP="009F024F">
            <w:pPr>
              <w:pStyle w:val="TableParagraph"/>
              <w:tabs>
                <w:tab w:val="left" w:pos="360"/>
              </w:tabs>
              <w:rPr>
                <w:sz w:val="18"/>
              </w:rPr>
            </w:pPr>
          </w:p>
          <w:p w14:paraId="19DD77A5" w14:textId="77777777" w:rsidR="009F024F" w:rsidRDefault="009F024F" w:rsidP="009F024F">
            <w:pPr>
              <w:pStyle w:val="TableParagraph"/>
              <w:tabs>
                <w:tab w:val="left" w:pos="360"/>
              </w:tabs>
              <w:rPr>
                <w:sz w:val="18"/>
              </w:rPr>
            </w:pPr>
          </w:p>
          <w:p w14:paraId="200B1240" w14:textId="77777777" w:rsidR="009F024F" w:rsidRDefault="009F024F" w:rsidP="009F024F">
            <w:pPr>
              <w:pStyle w:val="TableParagraph"/>
              <w:tabs>
                <w:tab w:val="left" w:pos="360"/>
              </w:tabs>
              <w:rPr>
                <w:sz w:val="18"/>
              </w:rPr>
            </w:pPr>
          </w:p>
          <w:p w14:paraId="35D70ECF" w14:textId="415A4616" w:rsidR="009F024F" w:rsidRDefault="009F024F" w:rsidP="009F024F">
            <w:pPr>
              <w:pStyle w:val="TableParagraph"/>
              <w:numPr>
                <w:ilvl w:val="0"/>
                <w:numId w:val="4"/>
              </w:numPr>
              <w:tabs>
                <w:tab w:val="left" w:pos="360"/>
              </w:tabs>
              <w:rPr>
                <w:sz w:val="18"/>
              </w:rPr>
            </w:pPr>
            <w:r>
              <w:rPr>
                <w:sz w:val="18"/>
              </w:rPr>
              <w:t>4. Covid-19</w:t>
            </w:r>
          </w:p>
        </w:tc>
        <w:tc>
          <w:tcPr>
            <w:tcW w:w="1416" w:type="dxa"/>
          </w:tcPr>
          <w:p w14:paraId="165FF8B6" w14:textId="77777777" w:rsidR="00A46821" w:rsidRDefault="0090416B">
            <w:pPr>
              <w:pStyle w:val="TableParagraph"/>
              <w:spacing w:line="206" w:lineRule="exact"/>
              <w:ind w:left="107"/>
              <w:rPr>
                <w:sz w:val="18"/>
              </w:rPr>
            </w:pPr>
            <w:r>
              <w:rPr>
                <w:sz w:val="18"/>
              </w:rPr>
              <w:t>Low</w:t>
            </w:r>
          </w:p>
          <w:p w14:paraId="7AD52BF7" w14:textId="77777777" w:rsidR="00A46821" w:rsidRDefault="00A46821">
            <w:pPr>
              <w:pStyle w:val="TableParagraph"/>
              <w:rPr>
                <w:sz w:val="20"/>
              </w:rPr>
            </w:pPr>
          </w:p>
          <w:p w14:paraId="5F04985E" w14:textId="77777777" w:rsidR="00A46821" w:rsidRDefault="00A46821">
            <w:pPr>
              <w:pStyle w:val="TableParagraph"/>
              <w:rPr>
                <w:sz w:val="20"/>
              </w:rPr>
            </w:pPr>
          </w:p>
          <w:p w14:paraId="4E562EE1" w14:textId="77777777" w:rsidR="00A46821" w:rsidRDefault="00A46821">
            <w:pPr>
              <w:pStyle w:val="TableParagraph"/>
              <w:rPr>
                <w:sz w:val="20"/>
              </w:rPr>
            </w:pPr>
          </w:p>
          <w:p w14:paraId="5B515AAF" w14:textId="77777777" w:rsidR="00A46821" w:rsidRDefault="0090416B">
            <w:pPr>
              <w:pStyle w:val="TableParagraph"/>
              <w:spacing w:before="138"/>
              <w:ind w:left="107"/>
              <w:rPr>
                <w:sz w:val="18"/>
              </w:rPr>
            </w:pPr>
            <w:r>
              <w:rPr>
                <w:sz w:val="18"/>
              </w:rPr>
              <w:t>Low</w:t>
            </w:r>
          </w:p>
          <w:p w14:paraId="5B10C975" w14:textId="77777777" w:rsidR="00A46821" w:rsidRDefault="00A46821">
            <w:pPr>
              <w:pStyle w:val="TableParagraph"/>
              <w:rPr>
                <w:sz w:val="20"/>
              </w:rPr>
            </w:pPr>
          </w:p>
          <w:p w14:paraId="2E0D7E33" w14:textId="77777777" w:rsidR="00A46821" w:rsidRDefault="00A46821">
            <w:pPr>
              <w:pStyle w:val="TableParagraph"/>
              <w:rPr>
                <w:sz w:val="20"/>
              </w:rPr>
            </w:pPr>
          </w:p>
          <w:p w14:paraId="06E3265E" w14:textId="77777777" w:rsidR="00A46821" w:rsidRDefault="0090416B">
            <w:pPr>
              <w:pStyle w:val="TableParagraph"/>
              <w:spacing w:before="161"/>
              <w:ind w:left="107"/>
              <w:rPr>
                <w:sz w:val="18"/>
              </w:rPr>
            </w:pPr>
            <w:r>
              <w:rPr>
                <w:sz w:val="18"/>
              </w:rPr>
              <w:t>Low</w:t>
            </w:r>
          </w:p>
          <w:p w14:paraId="609BA3A3" w14:textId="77777777" w:rsidR="009F024F" w:rsidRDefault="009F024F">
            <w:pPr>
              <w:pStyle w:val="TableParagraph"/>
              <w:spacing w:before="161"/>
              <w:ind w:left="107"/>
              <w:rPr>
                <w:sz w:val="18"/>
              </w:rPr>
            </w:pPr>
          </w:p>
          <w:p w14:paraId="5E5A5482" w14:textId="77777777" w:rsidR="009F024F" w:rsidRDefault="009F024F">
            <w:pPr>
              <w:pStyle w:val="TableParagraph"/>
              <w:spacing w:before="161"/>
              <w:ind w:left="107"/>
              <w:rPr>
                <w:sz w:val="18"/>
              </w:rPr>
            </w:pPr>
          </w:p>
          <w:p w14:paraId="56AF2532" w14:textId="178F3FC9" w:rsidR="009F024F" w:rsidRDefault="009F024F" w:rsidP="009F024F">
            <w:pPr>
              <w:pStyle w:val="TableParagraph"/>
              <w:spacing w:before="161"/>
              <w:rPr>
                <w:sz w:val="18"/>
              </w:rPr>
            </w:pPr>
            <w:r>
              <w:rPr>
                <w:sz w:val="18"/>
              </w:rPr>
              <w:t>High</w:t>
            </w:r>
          </w:p>
        </w:tc>
        <w:tc>
          <w:tcPr>
            <w:tcW w:w="4853" w:type="dxa"/>
          </w:tcPr>
          <w:p w14:paraId="1832D19F" w14:textId="7018E62E" w:rsidR="00A46821" w:rsidRDefault="0090416B">
            <w:pPr>
              <w:pStyle w:val="TableParagraph"/>
              <w:ind w:left="107" w:right="43"/>
              <w:rPr>
                <w:sz w:val="18"/>
              </w:rPr>
            </w:pPr>
            <w:r>
              <w:rPr>
                <w:sz w:val="18"/>
              </w:rPr>
              <w:t xml:space="preserve">Clerk works from home. Short term absence of Clerk is covered by Councillors. Loss or </w:t>
            </w:r>
            <w:r w:rsidR="00937770">
              <w:rPr>
                <w:sz w:val="18"/>
              </w:rPr>
              <w:t>long-term</w:t>
            </w:r>
            <w:r>
              <w:rPr>
                <w:sz w:val="18"/>
              </w:rPr>
              <w:t xml:space="preserve"> incapacity of Clerk would be covered by Councillors and / or appointment of a Locum</w:t>
            </w:r>
          </w:p>
          <w:p w14:paraId="70A08E29" w14:textId="77777777" w:rsidR="00A46821" w:rsidRDefault="00A46821">
            <w:pPr>
              <w:pStyle w:val="TableParagraph"/>
              <w:spacing w:before="10"/>
              <w:rPr>
                <w:sz w:val="17"/>
              </w:rPr>
            </w:pPr>
          </w:p>
          <w:p w14:paraId="5A7AAD15" w14:textId="77777777" w:rsidR="00A46821" w:rsidRDefault="0090416B">
            <w:pPr>
              <w:pStyle w:val="TableParagraph"/>
              <w:ind w:left="107"/>
              <w:rPr>
                <w:sz w:val="18"/>
              </w:rPr>
            </w:pPr>
            <w:r>
              <w:rPr>
                <w:sz w:val="18"/>
              </w:rPr>
              <w:t>Council carries cash reserves</w:t>
            </w:r>
          </w:p>
          <w:p w14:paraId="2F4EF7F0" w14:textId="77777777" w:rsidR="00A46821" w:rsidRDefault="00A46821">
            <w:pPr>
              <w:pStyle w:val="TableParagraph"/>
              <w:rPr>
                <w:sz w:val="20"/>
              </w:rPr>
            </w:pPr>
          </w:p>
          <w:p w14:paraId="038A8EF4" w14:textId="77777777" w:rsidR="00A46821" w:rsidRDefault="00A46821">
            <w:pPr>
              <w:pStyle w:val="TableParagraph"/>
              <w:rPr>
                <w:sz w:val="20"/>
              </w:rPr>
            </w:pPr>
          </w:p>
          <w:p w14:paraId="7941F3E3" w14:textId="77777777" w:rsidR="00A46821" w:rsidRDefault="0090416B" w:rsidP="00937770">
            <w:pPr>
              <w:pStyle w:val="TableParagraph"/>
              <w:spacing w:before="161"/>
              <w:ind w:left="107" w:right="101"/>
              <w:rPr>
                <w:sz w:val="18"/>
              </w:rPr>
            </w:pPr>
            <w:r>
              <w:rPr>
                <w:sz w:val="18"/>
              </w:rPr>
              <w:t>Clerk works from home. No significant important documents (</w:t>
            </w:r>
            <w:r w:rsidR="00D433E2">
              <w:rPr>
                <w:sz w:val="18"/>
              </w:rPr>
              <w:t>e.g.</w:t>
            </w:r>
            <w:r>
              <w:rPr>
                <w:sz w:val="18"/>
              </w:rPr>
              <w:t xml:space="preserve"> titles etc); other documents (</w:t>
            </w:r>
            <w:r w:rsidR="00D433E2">
              <w:rPr>
                <w:sz w:val="18"/>
              </w:rPr>
              <w:t>e.g.</w:t>
            </w:r>
            <w:r>
              <w:rPr>
                <w:sz w:val="18"/>
              </w:rPr>
              <w:t xml:space="preserve"> leases etc) are duplicated elsewhere</w:t>
            </w:r>
            <w:r w:rsidRPr="00D433E2">
              <w:rPr>
                <w:sz w:val="18"/>
              </w:rPr>
              <w:t xml:space="preserve">. Electronic data is held in </w:t>
            </w:r>
            <w:r w:rsidR="00937770" w:rsidRPr="00D433E2">
              <w:rPr>
                <w:sz w:val="18"/>
              </w:rPr>
              <w:t xml:space="preserve">a </w:t>
            </w:r>
            <w:r w:rsidR="00D433E2" w:rsidRPr="00D433E2">
              <w:rPr>
                <w:sz w:val="18"/>
              </w:rPr>
              <w:t>drobox</w:t>
            </w:r>
            <w:r w:rsidR="00937770" w:rsidRPr="00D433E2">
              <w:rPr>
                <w:sz w:val="18"/>
              </w:rPr>
              <w:t>. Clerk has Council specific laptop and Chairman holds passcodes etc.</w:t>
            </w:r>
          </w:p>
          <w:p w14:paraId="2594CCCE" w14:textId="28F6041E" w:rsidR="009F024F" w:rsidRDefault="009F024F" w:rsidP="00937770">
            <w:pPr>
              <w:pStyle w:val="TableParagraph"/>
              <w:spacing w:before="161"/>
              <w:ind w:left="107" w:right="101"/>
              <w:rPr>
                <w:sz w:val="18"/>
              </w:rPr>
            </w:pPr>
            <w:r>
              <w:rPr>
                <w:sz w:val="18"/>
              </w:rPr>
              <w:t>Meetings resuming in the Village Hall. Government Guidelines adopted as well as the procedures adopted by the venue. Social Distancing employed throughout meetings and limits placed on numbers inside the venue. Tables and chairs cleaned after use.</w:t>
            </w:r>
          </w:p>
          <w:p w14:paraId="0430EBE8" w14:textId="77777777" w:rsidR="009F024F" w:rsidRDefault="009F024F" w:rsidP="00937770">
            <w:pPr>
              <w:pStyle w:val="TableParagraph"/>
              <w:spacing w:before="161"/>
              <w:ind w:left="107" w:right="101"/>
              <w:rPr>
                <w:sz w:val="18"/>
              </w:rPr>
            </w:pPr>
          </w:p>
          <w:p w14:paraId="4FF0CB1B" w14:textId="5881BCB2" w:rsidR="009F024F" w:rsidRDefault="009F024F" w:rsidP="00937770">
            <w:pPr>
              <w:pStyle w:val="TableParagraph"/>
              <w:spacing w:before="161"/>
              <w:ind w:left="107" w:right="101"/>
              <w:rPr>
                <w:sz w:val="18"/>
              </w:rPr>
            </w:pPr>
          </w:p>
        </w:tc>
        <w:tc>
          <w:tcPr>
            <w:tcW w:w="2835" w:type="dxa"/>
          </w:tcPr>
          <w:p w14:paraId="63ACA7A5" w14:textId="77777777" w:rsidR="00A46821" w:rsidRDefault="0090416B">
            <w:pPr>
              <w:pStyle w:val="TableParagraph"/>
              <w:spacing w:line="206" w:lineRule="exact"/>
              <w:ind w:left="107"/>
              <w:rPr>
                <w:sz w:val="18"/>
              </w:rPr>
            </w:pPr>
            <w:r>
              <w:rPr>
                <w:sz w:val="18"/>
              </w:rPr>
              <w:t>Existing procedure adequate</w:t>
            </w:r>
          </w:p>
          <w:p w14:paraId="71A840CD" w14:textId="77777777" w:rsidR="00A46821" w:rsidRDefault="00A46821">
            <w:pPr>
              <w:pStyle w:val="TableParagraph"/>
              <w:rPr>
                <w:sz w:val="20"/>
              </w:rPr>
            </w:pPr>
          </w:p>
          <w:p w14:paraId="5ECAECD6" w14:textId="77777777" w:rsidR="00A46821" w:rsidRDefault="00A46821">
            <w:pPr>
              <w:pStyle w:val="TableParagraph"/>
              <w:rPr>
                <w:sz w:val="20"/>
              </w:rPr>
            </w:pPr>
          </w:p>
          <w:p w14:paraId="29ECAB08" w14:textId="77777777" w:rsidR="00A46821" w:rsidRDefault="00A46821">
            <w:pPr>
              <w:pStyle w:val="TableParagraph"/>
              <w:rPr>
                <w:sz w:val="20"/>
              </w:rPr>
            </w:pPr>
          </w:p>
          <w:p w14:paraId="776A0AD9" w14:textId="77777777" w:rsidR="00A46821" w:rsidRDefault="0090416B">
            <w:pPr>
              <w:pStyle w:val="TableParagraph"/>
              <w:spacing w:before="138"/>
              <w:ind w:left="107" w:right="356"/>
              <w:rPr>
                <w:sz w:val="18"/>
              </w:rPr>
            </w:pPr>
            <w:r>
              <w:rPr>
                <w:sz w:val="18"/>
              </w:rPr>
              <w:t xml:space="preserve">Existing procedure adequate. Currently reserves are </w:t>
            </w:r>
            <w:r>
              <w:rPr>
                <w:i/>
                <w:sz w:val="18"/>
              </w:rPr>
              <w:t xml:space="preserve">circa </w:t>
            </w:r>
            <w:r>
              <w:rPr>
                <w:sz w:val="18"/>
              </w:rPr>
              <w:t>100% of precept</w:t>
            </w:r>
          </w:p>
          <w:p w14:paraId="3A2F28D5" w14:textId="77777777" w:rsidR="00A46821" w:rsidRDefault="00A46821">
            <w:pPr>
              <w:pStyle w:val="TableParagraph"/>
              <w:spacing w:before="11"/>
              <w:rPr>
                <w:sz w:val="17"/>
              </w:rPr>
            </w:pPr>
          </w:p>
          <w:p w14:paraId="50E3F3B5" w14:textId="77777777" w:rsidR="00A46821" w:rsidRDefault="0090416B">
            <w:pPr>
              <w:pStyle w:val="TableParagraph"/>
              <w:ind w:left="107"/>
              <w:rPr>
                <w:sz w:val="18"/>
              </w:rPr>
            </w:pPr>
            <w:r>
              <w:rPr>
                <w:sz w:val="18"/>
              </w:rPr>
              <w:t>Existing procedure adequate</w:t>
            </w:r>
          </w:p>
          <w:p w14:paraId="00760A9D" w14:textId="77777777" w:rsidR="009F024F" w:rsidRDefault="009F024F">
            <w:pPr>
              <w:pStyle w:val="TableParagraph"/>
              <w:ind w:left="107"/>
              <w:rPr>
                <w:sz w:val="18"/>
              </w:rPr>
            </w:pPr>
          </w:p>
          <w:p w14:paraId="4E4352CA" w14:textId="77777777" w:rsidR="009F024F" w:rsidRDefault="009F024F">
            <w:pPr>
              <w:pStyle w:val="TableParagraph"/>
              <w:ind w:left="107"/>
              <w:rPr>
                <w:sz w:val="18"/>
              </w:rPr>
            </w:pPr>
          </w:p>
          <w:p w14:paraId="37AA5FC1" w14:textId="77777777" w:rsidR="009F024F" w:rsidRDefault="009F024F">
            <w:pPr>
              <w:pStyle w:val="TableParagraph"/>
              <w:ind w:left="107"/>
              <w:rPr>
                <w:sz w:val="18"/>
              </w:rPr>
            </w:pPr>
          </w:p>
          <w:p w14:paraId="0AD9C670" w14:textId="77777777" w:rsidR="009F024F" w:rsidRDefault="009F024F">
            <w:pPr>
              <w:pStyle w:val="TableParagraph"/>
              <w:ind w:left="107"/>
              <w:rPr>
                <w:sz w:val="18"/>
              </w:rPr>
            </w:pPr>
          </w:p>
          <w:p w14:paraId="5A02AE73" w14:textId="77777777" w:rsidR="009F024F" w:rsidRDefault="009F024F">
            <w:pPr>
              <w:pStyle w:val="TableParagraph"/>
              <w:ind w:left="107"/>
              <w:rPr>
                <w:sz w:val="18"/>
              </w:rPr>
            </w:pPr>
          </w:p>
          <w:p w14:paraId="3E3E52EA" w14:textId="7E3095F6" w:rsidR="009F024F" w:rsidRDefault="009F024F">
            <w:pPr>
              <w:pStyle w:val="TableParagraph"/>
              <w:ind w:left="107"/>
              <w:rPr>
                <w:sz w:val="18"/>
              </w:rPr>
            </w:pPr>
            <w:r>
              <w:rPr>
                <w:sz w:val="18"/>
              </w:rPr>
              <w:t>Existing Procedure adequate. This to be reviewed in line with Government announcements on easing / tightening of restrictions.</w:t>
            </w:r>
          </w:p>
        </w:tc>
      </w:tr>
      <w:tr w:rsidR="00A46821" w14:paraId="7884B0DE" w14:textId="77777777">
        <w:trPr>
          <w:trHeight w:val="1900"/>
        </w:trPr>
        <w:tc>
          <w:tcPr>
            <w:tcW w:w="1952" w:type="dxa"/>
          </w:tcPr>
          <w:p w14:paraId="2570F589" w14:textId="77777777" w:rsidR="00A46821" w:rsidRDefault="0090416B">
            <w:pPr>
              <w:pStyle w:val="TableParagraph"/>
              <w:spacing w:line="206" w:lineRule="exact"/>
              <w:ind w:left="107"/>
              <w:rPr>
                <w:sz w:val="18"/>
              </w:rPr>
            </w:pPr>
            <w:r>
              <w:rPr>
                <w:sz w:val="18"/>
              </w:rPr>
              <w:lastRenderedPageBreak/>
              <w:t>Financial</w:t>
            </w:r>
          </w:p>
        </w:tc>
        <w:tc>
          <w:tcPr>
            <w:tcW w:w="3121" w:type="dxa"/>
          </w:tcPr>
          <w:p w14:paraId="79884D2D" w14:textId="77777777" w:rsidR="00A46821" w:rsidRDefault="0090416B">
            <w:pPr>
              <w:pStyle w:val="TableParagraph"/>
              <w:spacing w:line="206" w:lineRule="exact"/>
              <w:ind w:left="107"/>
              <w:rPr>
                <w:sz w:val="18"/>
              </w:rPr>
            </w:pPr>
            <w:r>
              <w:rPr>
                <w:sz w:val="18"/>
              </w:rPr>
              <w:t>1. Theft / loss of money</w:t>
            </w:r>
          </w:p>
        </w:tc>
        <w:tc>
          <w:tcPr>
            <w:tcW w:w="1416" w:type="dxa"/>
          </w:tcPr>
          <w:p w14:paraId="7D05B154" w14:textId="77777777" w:rsidR="00A46821" w:rsidRDefault="0090416B">
            <w:pPr>
              <w:pStyle w:val="TableParagraph"/>
              <w:spacing w:line="206" w:lineRule="exact"/>
              <w:ind w:left="107"/>
              <w:rPr>
                <w:sz w:val="18"/>
              </w:rPr>
            </w:pPr>
            <w:r>
              <w:rPr>
                <w:sz w:val="18"/>
              </w:rPr>
              <w:t>Low</w:t>
            </w:r>
          </w:p>
        </w:tc>
        <w:tc>
          <w:tcPr>
            <w:tcW w:w="4853" w:type="dxa"/>
          </w:tcPr>
          <w:p w14:paraId="5E70D8A1" w14:textId="77777777" w:rsidR="00A46821" w:rsidRDefault="0090416B">
            <w:pPr>
              <w:pStyle w:val="TableParagraph"/>
              <w:ind w:left="107"/>
              <w:rPr>
                <w:sz w:val="18"/>
              </w:rPr>
            </w:pPr>
            <w:r>
              <w:rPr>
                <w:sz w:val="18"/>
              </w:rPr>
              <w:t>Financial Regs and Internal Controls procedures in place. Additionally;</w:t>
            </w:r>
          </w:p>
          <w:p w14:paraId="2A336EBB" w14:textId="3AFDFCF6" w:rsidR="00A46821" w:rsidRDefault="0090416B">
            <w:pPr>
              <w:pStyle w:val="TableParagraph"/>
              <w:numPr>
                <w:ilvl w:val="0"/>
                <w:numId w:val="3"/>
              </w:numPr>
              <w:tabs>
                <w:tab w:val="left" w:pos="826"/>
                <w:tab w:val="left" w:pos="827"/>
              </w:tabs>
              <w:ind w:right="172"/>
              <w:rPr>
                <w:sz w:val="18"/>
              </w:rPr>
            </w:pPr>
            <w:r>
              <w:rPr>
                <w:sz w:val="18"/>
              </w:rPr>
              <w:t>all financial receipts, invoices, spreadsheets etc are available at every Council meeting for scrutiny by internal control councillor prior to approval by council</w:t>
            </w:r>
          </w:p>
          <w:p w14:paraId="122BD866" w14:textId="17C29037" w:rsidR="00A46821" w:rsidRDefault="0090416B">
            <w:pPr>
              <w:pStyle w:val="TableParagraph"/>
              <w:numPr>
                <w:ilvl w:val="0"/>
                <w:numId w:val="3"/>
              </w:numPr>
              <w:tabs>
                <w:tab w:val="left" w:pos="826"/>
                <w:tab w:val="left" w:pos="827"/>
              </w:tabs>
              <w:spacing w:before="1" w:line="237" w:lineRule="auto"/>
              <w:ind w:right="350"/>
              <w:rPr>
                <w:sz w:val="18"/>
              </w:rPr>
            </w:pPr>
            <w:r>
              <w:rPr>
                <w:sz w:val="18"/>
              </w:rPr>
              <w:t>Internal Controls checks as part of quarterly review and forward financial</w:t>
            </w:r>
            <w:r>
              <w:rPr>
                <w:spacing w:val="-16"/>
                <w:sz w:val="18"/>
              </w:rPr>
              <w:t xml:space="preserve"> </w:t>
            </w:r>
            <w:r>
              <w:rPr>
                <w:sz w:val="18"/>
              </w:rPr>
              <w:t>planning</w:t>
            </w:r>
          </w:p>
          <w:p w14:paraId="37197A13" w14:textId="77777777" w:rsidR="00A46821" w:rsidRDefault="0090416B">
            <w:pPr>
              <w:pStyle w:val="TableParagraph"/>
              <w:numPr>
                <w:ilvl w:val="0"/>
                <w:numId w:val="3"/>
              </w:numPr>
              <w:tabs>
                <w:tab w:val="left" w:pos="826"/>
                <w:tab w:val="left" w:pos="827"/>
              </w:tabs>
              <w:spacing w:line="220" w:lineRule="exact"/>
              <w:rPr>
                <w:sz w:val="18"/>
              </w:rPr>
            </w:pPr>
            <w:r>
              <w:rPr>
                <w:sz w:val="18"/>
              </w:rPr>
              <w:t>Fidelity Guarantee in</w:t>
            </w:r>
            <w:r>
              <w:rPr>
                <w:spacing w:val="-4"/>
                <w:sz w:val="18"/>
              </w:rPr>
              <w:t xml:space="preserve"> </w:t>
            </w:r>
            <w:r>
              <w:rPr>
                <w:sz w:val="18"/>
              </w:rPr>
              <w:t>place</w:t>
            </w:r>
          </w:p>
        </w:tc>
        <w:tc>
          <w:tcPr>
            <w:tcW w:w="2835" w:type="dxa"/>
          </w:tcPr>
          <w:p w14:paraId="676D0D82" w14:textId="77777777" w:rsidR="00A46821" w:rsidRDefault="0090416B">
            <w:pPr>
              <w:pStyle w:val="TableParagraph"/>
              <w:ind w:left="107" w:right="176"/>
              <w:rPr>
                <w:sz w:val="18"/>
              </w:rPr>
            </w:pPr>
            <w:r>
              <w:rPr>
                <w:sz w:val="18"/>
              </w:rPr>
              <w:t>Annual review confirms existing arrangements adequate.</w:t>
            </w:r>
          </w:p>
          <w:p w14:paraId="5DAC0F90" w14:textId="77777777" w:rsidR="00A46821" w:rsidRDefault="00A46821">
            <w:pPr>
              <w:pStyle w:val="TableParagraph"/>
              <w:rPr>
                <w:sz w:val="20"/>
              </w:rPr>
            </w:pPr>
          </w:p>
          <w:p w14:paraId="2CDDF143" w14:textId="77777777" w:rsidR="00A46821" w:rsidRDefault="00A46821">
            <w:pPr>
              <w:pStyle w:val="TableParagraph"/>
              <w:rPr>
                <w:sz w:val="20"/>
              </w:rPr>
            </w:pPr>
          </w:p>
          <w:p w14:paraId="597D6B09" w14:textId="77777777" w:rsidR="00A46821" w:rsidRDefault="00A46821">
            <w:pPr>
              <w:pStyle w:val="TableParagraph"/>
              <w:rPr>
                <w:sz w:val="20"/>
              </w:rPr>
            </w:pPr>
          </w:p>
          <w:p w14:paraId="3B800DFD" w14:textId="77777777" w:rsidR="00A46821" w:rsidRDefault="00A46821">
            <w:pPr>
              <w:pStyle w:val="TableParagraph"/>
              <w:rPr>
                <w:sz w:val="20"/>
              </w:rPr>
            </w:pPr>
          </w:p>
          <w:p w14:paraId="3AA574F5" w14:textId="0FDDC2A8" w:rsidR="00A46821" w:rsidRDefault="00A46821" w:rsidP="0090416B">
            <w:pPr>
              <w:pStyle w:val="TableParagraph"/>
              <w:spacing w:before="115"/>
              <w:rPr>
                <w:sz w:val="18"/>
              </w:rPr>
            </w:pPr>
          </w:p>
        </w:tc>
      </w:tr>
    </w:tbl>
    <w:p w14:paraId="15823AFF" w14:textId="77777777" w:rsidR="00A46821" w:rsidRDefault="00A46821">
      <w:pPr>
        <w:rPr>
          <w:sz w:val="18"/>
        </w:rPr>
        <w:sectPr w:rsidR="00A46821" w:rsidSect="00DF79E4">
          <w:type w:val="continuous"/>
          <w:pgSz w:w="16840" w:h="11910" w:orient="landscape"/>
          <w:pgMar w:top="1100" w:right="1220" w:bottom="280" w:left="1220" w:header="720" w:footer="720" w:gutter="0"/>
          <w:cols w:space="720"/>
        </w:sectPr>
      </w:pPr>
    </w:p>
    <w:p w14:paraId="401E1656" w14:textId="77777777" w:rsidR="00A46821" w:rsidRDefault="00A46821">
      <w:pPr>
        <w:pStyle w:val="BodyText"/>
        <w:ind w:left="0"/>
        <w:rPr>
          <w:sz w:val="2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121"/>
        <w:gridCol w:w="1416"/>
        <w:gridCol w:w="4853"/>
        <w:gridCol w:w="2835"/>
      </w:tblGrid>
      <w:tr w:rsidR="00A46821" w14:paraId="3E530781" w14:textId="77777777">
        <w:trPr>
          <w:trHeight w:val="1518"/>
        </w:trPr>
        <w:tc>
          <w:tcPr>
            <w:tcW w:w="1952" w:type="dxa"/>
          </w:tcPr>
          <w:p w14:paraId="5D4BC8F1" w14:textId="77777777" w:rsidR="00A46821" w:rsidRDefault="00A46821">
            <w:pPr>
              <w:pStyle w:val="TableParagraph"/>
              <w:rPr>
                <w:rFonts w:ascii="Times New Roman"/>
                <w:sz w:val="16"/>
              </w:rPr>
            </w:pPr>
          </w:p>
        </w:tc>
        <w:tc>
          <w:tcPr>
            <w:tcW w:w="3121" w:type="dxa"/>
          </w:tcPr>
          <w:p w14:paraId="3F68AE60" w14:textId="77777777" w:rsidR="00A46821" w:rsidRDefault="0090416B">
            <w:pPr>
              <w:pStyle w:val="TableParagraph"/>
              <w:numPr>
                <w:ilvl w:val="0"/>
                <w:numId w:val="2"/>
              </w:numPr>
              <w:tabs>
                <w:tab w:val="left" w:pos="309"/>
              </w:tabs>
              <w:ind w:right="469" w:firstLine="0"/>
              <w:rPr>
                <w:sz w:val="18"/>
              </w:rPr>
            </w:pPr>
            <w:r>
              <w:rPr>
                <w:sz w:val="18"/>
              </w:rPr>
              <w:t>Theft / loss of and damage to assets</w:t>
            </w:r>
          </w:p>
          <w:p w14:paraId="2DF67723" w14:textId="77777777" w:rsidR="00A46821" w:rsidRDefault="00A46821">
            <w:pPr>
              <w:pStyle w:val="TableParagraph"/>
              <w:rPr>
                <w:sz w:val="20"/>
              </w:rPr>
            </w:pPr>
          </w:p>
          <w:p w14:paraId="63454085" w14:textId="77777777" w:rsidR="00A46821" w:rsidRDefault="00A46821">
            <w:pPr>
              <w:pStyle w:val="TableParagraph"/>
              <w:spacing w:before="10"/>
              <w:rPr>
                <w:sz w:val="15"/>
              </w:rPr>
            </w:pPr>
          </w:p>
          <w:p w14:paraId="72C9211B" w14:textId="77777777" w:rsidR="00A46821" w:rsidRDefault="0090416B">
            <w:pPr>
              <w:pStyle w:val="TableParagraph"/>
              <w:numPr>
                <w:ilvl w:val="0"/>
                <w:numId w:val="2"/>
              </w:numPr>
              <w:tabs>
                <w:tab w:val="left" w:pos="359"/>
              </w:tabs>
              <w:ind w:right="871" w:firstLine="0"/>
              <w:rPr>
                <w:sz w:val="18"/>
              </w:rPr>
            </w:pPr>
            <w:r>
              <w:rPr>
                <w:sz w:val="18"/>
              </w:rPr>
              <w:t>Insolvency of</w:t>
            </w:r>
            <w:r>
              <w:rPr>
                <w:spacing w:val="-11"/>
                <w:sz w:val="18"/>
              </w:rPr>
              <w:t xml:space="preserve"> </w:t>
            </w:r>
            <w:r>
              <w:rPr>
                <w:sz w:val="18"/>
              </w:rPr>
              <w:t>insurance company</w:t>
            </w:r>
          </w:p>
        </w:tc>
        <w:tc>
          <w:tcPr>
            <w:tcW w:w="1416" w:type="dxa"/>
          </w:tcPr>
          <w:p w14:paraId="2907ED24" w14:textId="77777777" w:rsidR="00A46821" w:rsidRDefault="0090416B">
            <w:pPr>
              <w:pStyle w:val="TableParagraph"/>
              <w:spacing w:line="206" w:lineRule="exact"/>
              <w:ind w:left="107"/>
              <w:rPr>
                <w:sz w:val="18"/>
              </w:rPr>
            </w:pPr>
            <w:r>
              <w:rPr>
                <w:sz w:val="18"/>
              </w:rPr>
              <w:t>Medium</w:t>
            </w:r>
          </w:p>
          <w:p w14:paraId="302139F2" w14:textId="77777777" w:rsidR="00A46821" w:rsidRDefault="00A46821">
            <w:pPr>
              <w:pStyle w:val="TableParagraph"/>
              <w:rPr>
                <w:sz w:val="20"/>
              </w:rPr>
            </w:pPr>
          </w:p>
          <w:p w14:paraId="05B8D7C7" w14:textId="77777777" w:rsidR="00A46821" w:rsidRDefault="00A46821">
            <w:pPr>
              <w:pStyle w:val="TableParagraph"/>
              <w:rPr>
                <w:sz w:val="20"/>
              </w:rPr>
            </w:pPr>
          </w:p>
          <w:p w14:paraId="1F3A9F1F" w14:textId="77777777" w:rsidR="00A46821" w:rsidRDefault="0090416B">
            <w:pPr>
              <w:pStyle w:val="TableParagraph"/>
              <w:spacing w:before="161"/>
              <w:ind w:left="107"/>
              <w:rPr>
                <w:sz w:val="18"/>
              </w:rPr>
            </w:pPr>
            <w:r>
              <w:rPr>
                <w:sz w:val="18"/>
              </w:rPr>
              <w:t>Low</w:t>
            </w:r>
          </w:p>
        </w:tc>
        <w:tc>
          <w:tcPr>
            <w:tcW w:w="4853" w:type="dxa"/>
          </w:tcPr>
          <w:p w14:paraId="26F73A16" w14:textId="667F9B2A" w:rsidR="00A46821" w:rsidRDefault="0090416B">
            <w:pPr>
              <w:pStyle w:val="TableParagraph"/>
              <w:spacing w:line="206" w:lineRule="exact"/>
              <w:ind w:left="107"/>
              <w:rPr>
                <w:sz w:val="18"/>
              </w:rPr>
            </w:pPr>
            <w:r>
              <w:rPr>
                <w:sz w:val="18"/>
              </w:rPr>
              <w:t>Covered by comprehensive insurance policy and internal control procedures</w:t>
            </w:r>
          </w:p>
          <w:p w14:paraId="757C1EF4" w14:textId="77777777" w:rsidR="00A46821" w:rsidRDefault="00A46821">
            <w:pPr>
              <w:pStyle w:val="TableParagraph"/>
              <w:rPr>
                <w:sz w:val="20"/>
              </w:rPr>
            </w:pPr>
          </w:p>
          <w:p w14:paraId="35BC62FD" w14:textId="77777777" w:rsidR="00A46821" w:rsidRDefault="00A46821">
            <w:pPr>
              <w:pStyle w:val="TableParagraph"/>
              <w:rPr>
                <w:sz w:val="20"/>
              </w:rPr>
            </w:pPr>
          </w:p>
          <w:p w14:paraId="172E5091" w14:textId="77777777" w:rsidR="00A46821" w:rsidRDefault="0090416B">
            <w:pPr>
              <w:pStyle w:val="TableParagraph"/>
              <w:spacing w:before="161"/>
              <w:ind w:left="107" w:right="43"/>
              <w:rPr>
                <w:sz w:val="18"/>
              </w:rPr>
            </w:pPr>
            <w:r>
              <w:rPr>
                <w:sz w:val="18"/>
              </w:rPr>
              <w:t>Cover effected with a major insurance company via scheme with specialist broker for Parish Council business</w:t>
            </w:r>
          </w:p>
        </w:tc>
        <w:tc>
          <w:tcPr>
            <w:tcW w:w="2835" w:type="dxa"/>
          </w:tcPr>
          <w:p w14:paraId="66D5772E" w14:textId="2341C891" w:rsidR="00A46821" w:rsidRDefault="0090416B" w:rsidP="0090416B">
            <w:pPr>
              <w:pStyle w:val="TableParagraph"/>
              <w:ind w:right="156"/>
              <w:rPr>
                <w:sz w:val="18"/>
              </w:rPr>
            </w:pPr>
            <w:r>
              <w:rPr>
                <w:sz w:val="18"/>
              </w:rPr>
              <w:t xml:space="preserve"> Level of insurance cover reviewed annually</w:t>
            </w:r>
          </w:p>
          <w:p w14:paraId="264A1BDE" w14:textId="77777777" w:rsidR="00A46821" w:rsidRDefault="00A46821">
            <w:pPr>
              <w:pStyle w:val="TableParagraph"/>
              <w:spacing w:before="10"/>
              <w:rPr>
                <w:sz w:val="17"/>
              </w:rPr>
            </w:pPr>
          </w:p>
          <w:p w14:paraId="041BECAB" w14:textId="7619502A" w:rsidR="00A46821" w:rsidRDefault="00A46821" w:rsidP="0090416B">
            <w:pPr>
              <w:pStyle w:val="TableParagraph"/>
              <w:ind w:right="326"/>
              <w:rPr>
                <w:sz w:val="18"/>
              </w:rPr>
            </w:pPr>
          </w:p>
        </w:tc>
      </w:tr>
      <w:tr w:rsidR="00A46821" w14:paraId="1113013A" w14:textId="77777777" w:rsidTr="00D433E2">
        <w:trPr>
          <w:trHeight w:val="3725"/>
        </w:trPr>
        <w:tc>
          <w:tcPr>
            <w:tcW w:w="1952" w:type="dxa"/>
          </w:tcPr>
          <w:p w14:paraId="1253C039" w14:textId="77777777" w:rsidR="00A46821" w:rsidRDefault="0090416B">
            <w:pPr>
              <w:pStyle w:val="TableParagraph"/>
              <w:spacing w:line="206" w:lineRule="exact"/>
              <w:ind w:left="107"/>
              <w:rPr>
                <w:sz w:val="18"/>
              </w:rPr>
            </w:pPr>
            <w:r>
              <w:rPr>
                <w:sz w:val="18"/>
              </w:rPr>
              <w:t>Legal</w:t>
            </w:r>
          </w:p>
        </w:tc>
        <w:tc>
          <w:tcPr>
            <w:tcW w:w="3121" w:type="dxa"/>
            <w:shd w:val="clear" w:color="auto" w:fill="auto"/>
          </w:tcPr>
          <w:p w14:paraId="320214D0" w14:textId="77777777" w:rsidR="00A46821" w:rsidRPr="00D433E2" w:rsidRDefault="0090416B">
            <w:pPr>
              <w:pStyle w:val="TableParagraph"/>
              <w:numPr>
                <w:ilvl w:val="0"/>
                <w:numId w:val="1"/>
              </w:numPr>
              <w:tabs>
                <w:tab w:val="left" w:pos="309"/>
              </w:tabs>
              <w:ind w:right="209" w:firstLine="0"/>
              <w:jc w:val="both"/>
              <w:rPr>
                <w:sz w:val="18"/>
              </w:rPr>
            </w:pPr>
            <w:r w:rsidRPr="00D433E2">
              <w:rPr>
                <w:sz w:val="18"/>
              </w:rPr>
              <w:t>Legal liability as a consequence of asset ownership. Damage to 3</w:t>
            </w:r>
            <w:r w:rsidRPr="00D433E2">
              <w:rPr>
                <w:sz w:val="18"/>
                <w:vertAlign w:val="superscript"/>
              </w:rPr>
              <w:t>rd</w:t>
            </w:r>
            <w:r w:rsidRPr="00D433E2">
              <w:rPr>
                <w:sz w:val="18"/>
              </w:rPr>
              <w:t xml:space="preserve"> party property or</w:t>
            </w:r>
            <w:r w:rsidRPr="00D433E2">
              <w:rPr>
                <w:spacing w:val="-4"/>
                <w:sz w:val="18"/>
              </w:rPr>
              <w:t xml:space="preserve"> </w:t>
            </w:r>
            <w:r w:rsidRPr="00D433E2">
              <w:rPr>
                <w:sz w:val="18"/>
              </w:rPr>
              <w:t>individuals</w:t>
            </w:r>
          </w:p>
          <w:p w14:paraId="14E53BB1" w14:textId="77777777" w:rsidR="00A46821" w:rsidRPr="00D433E2" w:rsidRDefault="00A46821">
            <w:pPr>
              <w:pStyle w:val="TableParagraph"/>
              <w:rPr>
                <w:sz w:val="20"/>
              </w:rPr>
            </w:pPr>
          </w:p>
          <w:p w14:paraId="392FBDC2" w14:textId="77777777" w:rsidR="00A46821" w:rsidRPr="00D433E2" w:rsidRDefault="00A46821">
            <w:pPr>
              <w:pStyle w:val="TableParagraph"/>
              <w:rPr>
                <w:sz w:val="20"/>
              </w:rPr>
            </w:pPr>
          </w:p>
          <w:p w14:paraId="778F87C0" w14:textId="77777777" w:rsidR="00A46821" w:rsidRPr="00D433E2" w:rsidRDefault="00A46821">
            <w:pPr>
              <w:pStyle w:val="TableParagraph"/>
              <w:rPr>
                <w:sz w:val="20"/>
              </w:rPr>
            </w:pPr>
          </w:p>
          <w:p w14:paraId="5857CD81" w14:textId="77777777" w:rsidR="00A46821" w:rsidRPr="00D433E2" w:rsidRDefault="00A46821">
            <w:pPr>
              <w:pStyle w:val="TableParagraph"/>
              <w:spacing w:before="11"/>
              <w:rPr>
                <w:sz w:val="29"/>
              </w:rPr>
            </w:pPr>
          </w:p>
          <w:p w14:paraId="3B73B856" w14:textId="77777777" w:rsidR="00A46821" w:rsidRPr="00D433E2" w:rsidRDefault="0090416B">
            <w:pPr>
              <w:pStyle w:val="TableParagraph"/>
              <w:numPr>
                <w:ilvl w:val="0"/>
                <w:numId w:val="1"/>
              </w:numPr>
              <w:tabs>
                <w:tab w:val="left" w:pos="360"/>
              </w:tabs>
              <w:ind w:right="321" w:firstLine="0"/>
              <w:rPr>
                <w:sz w:val="18"/>
              </w:rPr>
            </w:pPr>
            <w:r w:rsidRPr="00D433E2">
              <w:rPr>
                <w:sz w:val="18"/>
              </w:rPr>
              <w:t>Personal accident to</w:t>
            </w:r>
            <w:r w:rsidRPr="00D433E2">
              <w:rPr>
                <w:spacing w:val="-13"/>
                <w:sz w:val="18"/>
              </w:rPr>
              <w:t xml:space="preserve"> </w:t>
            </w:r>
            <w:r w:rsidRPr="00D433E2">
              <w:rPr>
                <w:sz w:val="18"/>
              </w:rPr>
              <w:t>members and staff. Assault to</w:t>
            </w:r>
            <w:r w:rsidRPr="00D433E2">
              <w:rPr>
                <w:spacing w:val="-7"/>
                <w:sz w:val="18"/>
              </w:rPr>
              <w:t xml:space="preserve"> </w:t>
            </w:r>
            <w:r w:rsidRPr="00D433E2">
              <w:rPr>
                <w:sz w:val="18"/>
              </w:rPr>
              <w:t>staff</w:t>
            </w:r>
          </w:p>
          <w:p w14:paraId="6173995A" w14:textId="77777777" w:rsidR="00A46821" w:rsidRPr="00D433E2" w:rsidRDefault="00A46821">
            <w:pPr>
              <w:pStyle w:val="TableParagraph"/>
              <w:rPr>
                <w:sz w:val="20"/>
              </w:rPr>
            </w:pPr>
          </w:p>
          <w:p w14:paraId="2ACEF0EE" w14:textId="77777777" w:rsidR="00A46821" w:rsidRPr="00D433E2" w:rsidRDefault="00A46821">
            <w:pPr>
              <w:pStyle w:val="TableParagraph"/>
              <w:rPr>
                <w:sz w:val="20"/>
              </w:rPr>
            </w:pPr>
          </w:p>
          <w:p w14:paraId="5FFDAF21" w14:textId="77777777" w:rsidR="00A46821" w:rsidRPr="00D433E2" w:rsidRDefault="00A46821">
            <w:pPr>
              <w:pStyle w:val="TableParagraph"/>
              <w:rPr>
                <w:sz w:val="20"/>
              </w:rPr>
            </w:pPr>
          </w:p>
          <w:p w14:paraId="784904FC" w14:textId="62038308" w:rsidR="00A46821" w:rsidRPr="00D433E2" w:rsidRDefault="0090416B">
            <w:pPr>
              <w:pStyle w:val="TableParagraph"/>
              <w:numPr>
                <w:ilvl w:val="0"/>
                <w:numId w:val="1"/>
              </w:numPr>
              <w:tabs>
                <w:tab w:val="left" w:pos="309"/>
              </w:tabs>
              <w:spacing w:before="137"/>
              <w:ind w:left="308" w:hanging="201"/>
              <w:jc w:val="both"/>
              <w:rPr>
                <w:sz w:val="18"/>
              </w:rPr>
            </w:pPr>
            <w:r w:rsidRPr="00D433E2">
              <w:rPr>
                <w:sz w:val="18"/>
              </w:rPr>
              <w:t>Inappropriate use of</w:t>
            </w:r>
            <w:r w:rsidRPr="00D433E2">
              <w:rPr>
                <w:spacing w:val="-5"/>
                <w:sz w:val="18"/>
              </w:rPr>
              <w:t xml:space="preserve"> </w:t>
            </w:r>
            <w:r w:rsidRPr="00D433E2">
              <w:rPr>
                <w:sz w:val="18"/>
              </w:rPr>
              <w:t>powers</w:t>
            </w:r>
          </w:p>
          <w:p w14:paraId="3BC6BEDF" w14:textId="2180E895" w:rsidR="0090416B" w:rsidRDefault="0090416B" w:rsidP="0090416B">
            <w:pPr>
              <w:pStyle w:val="TableParagraph"/>
              <w:tabs>
                <w:tab w:val="left" w:pos="309"/>
              </w:tabs>
              <w:spacing w:before="137"/>
              <w:ind w:left="308"/>
              <w:rPr>
                <w:sz w:val="18"/>
              </w:rPr>
            </w:pPr>
          </w:p>
          <w:p w14:paraId="69676C86" w14:textId="77777777" w:rsidR="003042F6" w:rsidRPr="00D433E2" w:rsidRDefault="003042F6" w:rsidP="0090416B">
            <w:pPr>
              <w:pStyle w:val="TableParagraph"/>
              <w:tabs>
                <w:tab w:val="left" w:pos="309"/>
              </w:tabs>
              <w:spacing w:before="137"/>
              <w:ind w:left="308"/>
              <w:rPr>
                <w:sz w:val="18"/>
              </w:rPr>
            </w:pPr>
          </w:p>
          <w:p w14:paraId="6046BEAC" w14:textId="09C6DEB7" w:rsidR="00937770" w:rsidRPr="003042F6" w:rsidRDefault="00937770" w:rsidP="003042F6">
            <w:pPr>
              <w:pStyle w:val="TableParagraph"/>
              <w:numPr>
                <w:ilvl w:val="0"/>
                <w:numId w:val="1"/>
              </w:numPr>
              <w:tabs>
                <w:tab w:val="left" w:pos="309"/>
              </w:tabs>
              <w:spacing w:before="137"/>
              <w:ind w:left="308" w:hanging="201"/>
              <w:jc w:val="both"/>
              <w:rPr>
                <w:sz w:val="18"/>
              </w:rPr>
            </w:pPr>
            <w:r w:rsidRPr="003042F6">
              <w:rPr>
                <w:sz w:val="18"/>
              </w:rPr>
              <w:t>Policies &amp; Procedures in place to highlight risks &amp; reduce risks</w:t>
            </w:r>
          </w:p>
          <w:p w14:paraId="5770798D" w14:textId="0AF45186" w:rsidR="0090416B" w:rsidRPr="00D433E2" w:rsidRDefault="0090416B" w:rsidP="0090416B">
            <w:pPr>
              <w:pStyle w:val="TableParagraph"/>
              <w:tabs>
                <w:tab w:val="left" w:pos="309"/>
              </w:tabs>
              <w:spacing w:before="137"/>
              <w:rPr>
                <w:sz w:val="18"/>
              </w:rPr>
            </w:pPr>
          </w:p>
          <w:p w14:paraId="59E82EC9" w14:textId="77777777" w:rsidR="0090416B" w:rsidRPr="00D433E2" w:rsidRDefault="0090416B" w:rsidP="0090416B">
            <w:pPr>
              <w:pStyle w:val="TableParagraph"/>
              <w:tabs>
                <w:tab w:val="left" w:pos="309"/>
              </w:tabs>
              <w:spacing w:before="137"/>
              <w:rPr>
                <w:sz w:val="18"/>
              </w:rPr>
            </w:pPr>
          </w:p>
          <w:p w14:paraId="7CD11F01" w14:textId="50B355ED" w:rsidR="0090416B" w:rsidRPr="00D433E2" w:rsidRDefault="0090416B" w:rsidP="0090416B">
            <w:pPr>
              <w:pStyle w:val="TableParagraph"/>
              <w:numPr>
                <w:ilvl w:val="0"/>
                <w:numId w:val="1"/>
              </w:numPr>
              <w:tabs>
                <w:tab w:val="left" w:pos="309"/>
              </w:tabs>
              <w:spacing w:before="137"/>
              <w:rPr>
                <w:sz w:val="18"/>
              </w:rPr>
            </w:pPr>
          </w:p>
          <w:p w14:paraId="63FB7B87" w14:textId="77777777" w:rsidR="0090416B" w:rsidRPr="00D433E2" w:rsidRDefault="0090416B" w:rsidP="0090416B">
            <w:pPr>
              <w:pStyle w:val="TableParagraph"/>
              <w:tabs>
                <w:tab w:val="left" w:pos="309"/>
              </w:tabs>
              <w:spacing w:before="137"/>
              <w:rPr>
                <w:sz w:val="18"/>
              </w:rPr>
            </w:pPr>
          </w:p>
          <w:p w14:paraId="4FF4752F" w14:textId="77777777" w:rsidR="0090416B" w:rsidRPr="00D433E2" w:rsidRDefault="0090416B" w:rsidP="0090416B">
            <w:pPr>
              <w:pStyle w:val="TableParagraph"/>
              <w:tabs>
                <w:tab w:val="left" w:pos="309"/>
              </w:tabs>
              <w:spacing w:before="137"/>
              <w:rPr>
                <w:sz w:val="18"/>
              </w:rPr>
            </w:pPr>
          </w:p>
          <w:p w14:paraId="73C03A96" w14:textId="77777777" w:rsidR="0090416B" w:rsidRPr="00D433E2" w:rsidRDefault="0090416B" w:rsidP="0090416B">
            <w:pPr>
              <w:pStyle w:val="TableParagraph"/>
              <w:tabs>
                <w:tab w:val="left" w:pos="309"/>
              </w:tabs>
              <w:spacing w:before="137"/>
              <w:rPr>
                <w:sz w:val="18"/>
              </w:rPr>
            </w:pPr>
          </w:p>
          <w:p w14:paraId="22346892" w14:textId="70407472" w:rsidR="0090416B" w:rsidRPr="00D433E2" w:rsidRDefault="0090416B" w:rsidP="0090416B">
            <w:pPr>
              <w:pStyle w:val="TableParagraph"/>
              <w:tabs>
                <w:tab w:val="left" w:pos="309"/>
              </w:tabs>
              <w:spacing w:before="137"/>
              <w:rPr>
                <w:sz w:val="18"/>
              </w:rPr>
            </w:pPr>
          </w:p>
        </w:tc>
        <w:tc>
          <w:tcPr>
            <w:tcW w:w="1416" w:type="dxa"/>
            <w:shd w:val="clear" w:color="auto" w:fill="auto"/>
          </w:tcPr>
          <w:p w14:paraId="4F9C6BE0" w14:textId="77777777" w:rsidR="00A46821" w:rsidRPr="00D433E2" w:rsidRDefault="0090416B">
            <w:pPr>
              <w:pStyle w:val="TableParagraph"/>
              <w:spacing w:line="206" w:lineRule="exact"/>
              <w:ind w:left="107"/>
              <w:rPr>
                <w:sz w:val="18"/>
              </w:rPr>
            </w:pPr>
            <w:r w:rsidRPr="00D433E2">
              <w:rPr>
                <w:sz w:val="18"/>
              </w:rPr>
              <w:t>Low</w:t>
            </w:r>
          </w:p>
          <w:p w14:paraId="3EE34B1D" w14:textId="77777777" w:rsidR="00A46821" w:rsidRPr="00D433E2" w:rsidRDefault="00A46821">
            <w:pPr>
              <w:pStyle w:val="TableParagraph"/>
              <w:rPr>
                <w:sz w:val="20"/>
              </w:rPr>
            </w:pPr>
          </w:p>
          <w:p w14:paraId="30C5701A" w14:textId="77777777" w:rsidR="00A46821" w:rsidRPr="00D433E2" w:rsidRDefault="00A46821">
            <w:pPr>
              <w:pStyle w:val="TableParagraph"/>
              <w:rPr>
                <w:sz w:val="20"/>
              </w:rPr>
            </w:pPr>
          </w:p>
          <w:p w14:paraId="216A63BF" w14:textId="77777777" w:rsidR="00A46821" w:rsidRPr="00D433E2" w:rsidRDefault="00A46821">
            <w:pPr>
              <w:pStyle w:val="TableParagraph"/>
              <w:rPr>
                <w:sz w:val="20"/>
              </w:rPr>
            </w:pPr>
          </w:p>
          <w:p w14:paraId="0981691C" w14:textId="77777777" w:rsidR="00A46821" w:rsidRPr="00D433E2" w:rsidRDefault="00A46821">
            <w:pPr>
              <w:pStyle w:val="TableParagraph"/>
              <w:rPr>
                <w:sz w:val="20"/>
              </w:rPr>
            </w:pPr>
          </w:p>
          <w:p w14:paraId="44AA1F07" w14:textId="77777777" w:rsidR="00A46821" w:rsidRPr="00D433E2" w:rsidRDefault="00A46821">
            <w:pPr>
              <w:pStyle w:val="TableParagraph"/>
              <w:rPr>
                <w:sz w:val="20"/>
              </w:rPr>
            </w:pPr>
          </w:p>
          <w:p w14:paraId="4D7530CD" w14:textId="77777777" w:rsidR="00A46821" w:rsidRPr="00D433E2" w:rsidRDefault="00A46821">
            <w:pPr>
              <w:pStyle w:val="TableParagraph"/>
              <w:rPr>
                <w:sz w:val="26"/>
              </w:rPr>
            </w:pPr>
          </w:p>
          <w:p w14:paraId="23DDF979" w14:textId="77777777" w:rsidR="00A46821" w:rsidRPr="00D433E2" w:rsidRDefault="0090416B">
            <w:pPr>
              <w:pStyle w:val="TableParagraph"/>
              <w:ind w:left="107"/>
              <w:rPr>
                <w:sz w:val="18"/>
              </w:rPr>
            </w:pPr>
            <w:r w:rsidRPr="00D433E2">
              <w:rPr>
                <w:sz w:val="18"/>
              </w:rPr>
              <w:t>Low / Medium</w:t>
            </w:r>
          </w:p>
          <w:p w14:paraId="15B857FF" w14:textId="77777777" w:rsidR="00A46821" w:rsidRPr="00D433E2" w:rsidRDefault="00A46821">
            <w:pPr>
              <w:pStyle w:val="TableParagraph"/>
              <w:rPr>
                <w:sz w:val="20"/>
              </w:rPr>
            </w:pPr>
          </w:p>
          <w:p w14:paraId="5C149E96" w14:textId="77777777" w:rsidR="00A46821" w:rsidRPr="00D433E2" w:rsidRDefault="00A46821">
            <w:pPr>
              <w:pStyle w:val="TableParagraph"/>
              <w:rPr>
                <w:sz w:val="20"/>
              </w:rPr>
            </w:pPr>
          </w:p>
          <w:p w14:paraId="1E14CF3D" w14:textId="77777777" w:rsidR="00A46821" w:rsidRPr="00D433E2" w:rsidRDefault="00A46821">
            <w:pPr>
              <w:pStyle w:val="TableParagraph"/>
              <w:rPr>
                <w:sz w:val="20"/>
              </w:rPr>
            </w:pPr>
          </w:p>
          <w:p w14:paraId="1F5F1C79" w14:textId="77777777" w:rsidR="00A46821" w:rsidRPr="00D433E2" w:rsidRDefault="00A46821">
            <w:pPr>
              <w:pStyle w:val="TableParagraph"/>
              <w:spacing w:before="11"/>
              <w:rPr>
                <w:sz w:val="29"/>
              </w:rPr>
            </w:pPr>
          </w:p>
          <w:p w14:paraId="41C1DD42" w14:textId="77777777" w:rsidR="00A46821" w:rsidRPr="00D433E2" w:rsidRDefault="0090416B">
            <w:pPr>
              <w:pStyle w:val="TableParagraph"/>
              <w:ind w:left="107"/>
              <w:rPr>
                <w:sz w:val="18"/>
              </w:rPr>
            </w:pPr>
            <w:r w:rsidRPr="00D433E2">
              <w:rPr>
                <w:sz w:val="18"/>
              </w:rPr>
              <w:t>Low</w:t>
            </w:r>
          </w:p>
          <w:p w14:paraId="78326234" w14:textId="77777777" w:rsidR="0090416B" w:rsidRPr="00D433E2" w:rsidRDefault="0090416B">
            <w:pPr>
              <w:pStyle w:val="TableParagraph"/>
              <w:ind w:left="107"/>
              <w:rPr>
                <w:sz w:val="18"/>
              </w:rPr>
            </w:pPr>
          </w:p>
          <w:p w14:paraId="38D6EDD0" w14:textId="77777777" w:rsidR="0090416B" w:rsidRPr="00D433E2" w:rsidRDefault="0090416B">
            <w:pPr>
              <w:pStyle w:val="TableParagraph"/>
              <w:ind w:left="107"/>
              <w:rPr>
                <w:sz w:val="18"/>
              </w:rPr>
            </w:pPr>
          </w:p>
          <w:p w14:paraId="203C7D76" w14:textId="77777777" w:rsidR="00937770" w:rsidRPr="00D433E2" w:rsidRDefault="00937770">
            <w:pPr>
              <w:pStyle w:val="TableParagraph"/>
              <w:ind w:left="107"/>
              <w:rPr>
                <w:sz w:val="18"/>
              </w:rPr>
            </w:pPr>
          </w:p>
          <w:p w14:paraId="0F88265F" w14:textId="77777777" w:rsidR="003042F6" w:rsidRDefault="003042F6">
            <w:pPr>
              <w:pStyle w:val="TableParagraph"/>
              <w:ind w:left="107"/>
              <w:rPr>
                <w:sz w:val="18"/>
              </w:rPr>
            </w:pPr>
          </w:p>
          <w:p w14:paraId="1ED4021C" w14:textId="3FBB4D10" w:rsidR="00937770" w:rsidRPr="00D433E2" w:rsidRDefault="00937770">
            <w:pPr>
              <w:pStyle w:val="TableParagraph"/>
              <w:ind w:left="107"/>
              <w:rPr>
                <w:sz w:val="18"/>
              </w:rPr>
            </w:pPr>
            <w:r w:rsidRPr="00D433E2">
              <w:rPr>
                <w:sz w:val="18"/>
              </w:rPr>
              <w:t>Low</w:t>
            </w:r>
          </w:p>
        </w:tc>
        <w:tc>
          <w:tcPr>
            <w:tcW w:w="4853" w:type="dxa"/>
            <w:shd w:val="clear" w:color="auto" w:fill="auto"/>
          </w:tcPr>
          <w:p w14:paraId="4661AFD5" w14:textId="087A667F" w:rsidR="00A46821" w:rsidRDefault="0090416B">
            <w:pPr>
              <w:pStyle w:val="TableParagraph"/>
              <w:tabs>
                <w:tab w:val="left" w:pos="2420"/>
              </w:tabs>
              <w:ind w:left="107" w:right="118"/>
              <w:rPr>
                <w:sz w:val="18"/>
              </w:rPr>
            </w:pPr>
            <w:r w:rsidRPr="00D433E2">
              <w:rPr>
                <w:sz w:val="18"/>
              </w:rPr>
              <w:t>Covered by Public Liability insurance. Play equipment and low risk street furniture - bus shelter, benches etc – in public areas that receive weekly inspection by Councillors. Play equipment inspected annually by Registered</w:t>
            </w:r>
            <w:r w:rsidRPr="00D433E2">
              <w:rPr>
                <w:spacing w:val="-2"/>
                <w:sz w:val="18"/>
              </w:rPr>
              <w:t xml:space="preserve"> </w:t>
            </w:r>
            <w:r w:rsidRPr="00D433E2">
              <w:rPr>
                <w:sz w:val="18"/>
              </w:rPr>
              <w:t>Play</w:t>
            </w:r>
            <w:r w:rsidRPr="00D433E2">
              <w:rPr>
                <w:spacing w:val="-4"/>
                <w:sz w:val="18"/>
              </w:rPr>
              <w:t xml:space="preserve"> </w:t>
            </w:r>
            <w:r w:rsidRPr="00D433E2">
              <w:rPr>
                <w:sz w:val="18"/>
              </w:rPr>
              <w:t>Inspector.</w:t>
            </w:r>
            <w:r w:rsidR="00D75A1B" w:rsidRPr="00D433E2">
              <w:rPr>
                <w:sz w:val="18"/>
              </w:rPr>
              <w:t xml:space="preserve"> </w:t>
            </w:r>
            <w:r w:rsidRPr="00D433E2">
              <w:rPr>
                <w:sz w:val="18"/>
              </w:rPr>
              <w:t>All street lights were replaced with new equipment in 201</w:t>
            </w:r>
            <w:r w:rsidR="00D75A1B" w:rsidRPr="00D433E2">
              <w:rPr>
                <w:sz w:val="18"/>
              </w:rPr>
              <w:t>6</w:t>
            </w:r>
            <w:r w:rsidRPr="00D433E2">
              <w:rPr>
                <w:sz w:val="18"/>
              </w:rPr>
              <w:t xml:space="preserve"> and are serviced and maintained by competent</w:t>
            </w:r>
            <w:r w:rsidRPr="00D433E2">
              <w:rPr>
                <w:spacing w:val="-9"/>
                <w:sz w:val="18"/>
              </w:rPr>
              <w:t xml:space="preserve"> </w:t>
            </w:r>
            <w:r w:rsidRPr="00D433E2">
              <w:rPr>
                <w:sz w:val="18"/>
              </w:rPr>
              <w:t>contractor.</w:t>
            </w:r>
          </w:p>
          <w:p w14:paraId="5ABAB84D" w14:textId="77777777" w:rsidR="003042F6" w:rsidRPr="00D433E2" w:rsidRDefault="003042F6">
            <w:pPr>
              <w:pStyle w:val="TableParagraph"/>
              <w:tabs>
                <w:tab w:val="left" w:pos="2420"/>
              </w:tabs>
              <w:ind w:left="107" w:right="118"/>
              <w:rPr>
                <w:sz w:val="18"/>
              </w:rPr>
            </w:pPr>
          </w:p>
          <w:p w14:paraId="2CA3590B" w14:textId="67D8E697" w:rsidR="00A46821" w:rsidRPr="00D433E2" w:rsidRDefault="0090416B">
            <w:pPr>
              <w:pStyle w:val="TableParagraph"/>
              <w:ind w:left="107" w:right="170"/>
              <w:rPr>
                <w:sz w:val="18"/>
              </w:rPr>
            </w:pPr>
            <w:r w:rsidRPr="00D433E2">
              <w:rPr>
                <w:sz w:val="18"/>
              </w:rPr>
              <w:t>Where the Council undertakes activities, and has assets that pose a risk to staff, Councillors or 3</w:t>
            </w:r>
            <w:r w:rsidRPr="00D433E2">
              <w:rPr>
                <w:sz w:val="18"/>
                <w:vertAlign w:val="superscript"/>
              </w:rPr>
              <w:t>rd</w:t>
            </w:r>
            <w:r w:rsidRPr="00D433E2">
              <w:rPr>
                <w:sz w:val="18"/>
              </w:rPr>
              <w:t xml:space="preserve"> parties; there is a formal health and safety RA in place.</w:t>
            </w:r>
          </w:p>
          <w:p w14:paraId="119BCC99" w14:textId="77777777" w:rsidR="00A46821" w:rsidRPr="00D433E2" w:rsidRDefault="0090416B">
            <w:pPr>
              <w:pStyle w:val="TableParagraph"/>
              <w:ind w:left="107" w:right="244"/>
              <w:rPr>
                <w:sz w:val="18"/>
              </w:rPr>
            </w:pPr>
            <w:r w:rsidRPr="00D433E2">
              <w:rPr>
                <w:sz w:val="18"/>
              </w:rPr>
              <w:t>Clerk works from home; no cash is handled. Covered by personal accident and Employers Liability insurance.</w:t>
            </w:r>
          </w:p>
          <w:p w14:paraId="2104B5A4" w14:textId="77777777" w:rsidR="00A46821" w:rsidRPr="00D433E2" w:rsidRDefault="00A46821">
            <w:pPr>
              <w:pStyle w:val="TableParagraph"/>
              <w:spacing w:before="10"/>
              <w:rPr>
                <w:sz w:val="17"/>
              </w:rPr>
            </w:pPr>
          </w:p>
          <w:p w14:paraId="3D3937CF" w14:textId="4E0DF4EF" w:rsidR="00A46821" w:rsidRPr="00D433E2" w:rsidRDefault="0090416B" w:rsidP="00937770">
            <w:pPr>
              <w:pStyle w:val="TableParagraph"/>
              <w:ind w:left="107" w:right="133"/>
              <w:rPr>
                <w:sz w:val="18"/>
              </w:rPr>
            </w:pPr>
            <w:proofErr w:type="spellStart"/>
            <w:r w:rsidRPr="00D433E2">
              <w:rPr>
                <w:sz w:val="18"/>
              </w:rPr>
              <w:t>CiLCA</w:t>
            </w:r>
            <w:proofErr w:type="spellEnd"/>
            <w:r w:rsidRPr="00D433E2">
              <w:rPr>
                <w:sz w:val="18"/>
              </w:rPr>
              <w:t xml:space="preserve"> qualified Clerk. C</w:t>
            </w:r>
            <w:r w:rsidR="003042F6">
              <w:rPr>
                <w:sz w:val="18"/>
              </w:rPr>
              <w:t>ouncil</w:t>
            </w:r>
            <w:r w:rsidRPr="00D433E2">
              <w:rPr>
                <w:sz w:val="18"/>
              </w:rPr>
              <w:t xml:space="preserve"> membership of </w:t>
            </w:r>
            <w:r w:rsidR="003042F6">
              <w:rPr>
                <w:sz w:val="18"/>
              </w:rPr>
              <w:t>BALC</w:t>
            </w:r>
            <w:r w:rsidRPr="00D433E2">
              <w:rPr>
                <w:sz w:val="18"/>
              </w:rPr>
              <w:t xml:space="preserve"> provides access to current and up to date</w:t>
            </w:r>
            <w:r w:rsidRPr="00D433E2">
              <w:rPr>
                <w:spacing w:val="-22"/>
                <w:sz w:val="18"/>
              </w:rPr>
              <w:t xml:space="preserve"> </w:t>
            </w:r>
            <w:r w:rsidRPr="00D433E2">
              <w:rPr>
                <w:sz w:val="18"/>
              </w:rPr>
              <w:t>advice</w:t>
            </w:r>
            <w:r w:rsidR="00937770" w:rsidRPr="00D433E2">
              <w:rPr>
                <w:sz w:val="18"/>
              </w:rPr>
              <w:t xml:space="preserve"> </w:t>
            </w:r>
            <w:r w:rsidRPr="00D433E2">
              <w:rPr>
                <w:sz w:val="18"/>
              </w:rPr>
              <w:t>if necessary.</w:t>
            </w:r>
            <w:r w:rsidR="00937770" w:rsidRPr="00D433E2">
              <w:rPr>
                <w:sz w:val="18"/>
              </w:rPr>
              <w:t xml:space="preserve"> Update training offered to clerk/Councillors</w:t>
            </w:r>
          </w:p>
          <w:p w14:paraId="53B6D94A" w14:textId="77777777" w:rsidR="0090416B" w:rsidRPr="00D433E2" w:rsidRDefault="0090416B">
            <w:pPr>
              <w:pStyle w:val="TableParagraph"/>
              <w:spacing w:before="1" w:line="187" w:lineRule="exact"/>
              <w:ind w:left="107"/>
              <w:rPr>
                <w:sz w:val="18"/>
              </w:rPr>
            </w:pPr>
          </w:p>
          <w:p w14:paraId="5D00B147" w14:textId="77777777" w:rsidR="00937770" w:rsidRPr="00D433E2" w:rsidRDefault="00937770">
            <w:pPr>
              <w:pStyle w:val="TableParagraph"/>
              <w:spacing w:before="1" w:line="187" w:lineRule="exact"/>
              <w:ind w:left="107"/>
              <w:rPr>
                <w:sz w:val="18"/>
              </w:rPr>
            </w:pPr>
          </w:p>
          <w:p w14:paraId="76171D79" w14:textId="79997F1D" w:rsidR="00937770" w:rsidRPr="00D433E2" w:rsidRDefault="00937770">
            <w:pPr>
              <w:pStyle w:val="TableParagraph"/>
              <w:spacing w:before="1" w:line="187" w:lineRule="exact"/>
              <w:ind w:left="107"/>
              <w:rPr>
                <w:sz w:val="18"/>
              </w:rPr>
            </w:pPr>
            <w:r w:rsidRPr="00D433E2">
              <w:rPr>
                <w:sz w:val="18"/>
              </w:rPr>
              <w:t>Model policies &amp; procedures used</w:t>
            </w:r>
          </w:p>
        </w:tc>
        <w:tc>
          <w:tcPr>
            <w:tcW w:w="2835" w:type="dxa"/>
            <w:shd w:val="clear" w:color="auto" w:fill="auto"/>
          </w:tcPr>
          <w:p w14:paraId="5EB10B36" w14:textId="1AFF4B32" w:rsidR="00A46821" w:rsidRPr="00D433E2" w:rsidRDefault="0090416B" w:rsidP="0090416B">
            <w:pPr>
              <w:pStyle w:val="TableParagraph"/>
              <w:ind w:left="107"/>
              <w:rPr>
                <w:sz w:val="18"/>
              </w:rPr>
            </w:pPr>
            <w:r w:rsidRPr="00D433E2">
              <w:rPr>
                <w:sz w:val="18"/>
              </w:rPr>
              <w:t>Level of insurance cover is reviewed annually</w:t>
            </w:r>
          </w:p>
          <w:p w14:paraId="49080656" w14:textId="19CA67D6" w:rsidR="00A46821" w:rsidRDefault="00A46821">
            <w:pPr>
              <w:pStyle w:val="TableParagraph"/>
              <w:rPr>
                <w:sz w:val="20"/>
              </w:rPr>
            </w:pPr>
          </w:p>
          <w:p w14:paraId="04FE4ECB" w14:textId="2B217141" w:rsidR="003042F6" w:rsidRDefault="003042F6">
            <w:pPr>
              <w:pStyle w:val="TableParagraph"/>
              <w:rPr>
                <w:sz w:val="20"/>
              </w:rPr>
            </w:pPr>
          </w:p>
          <w:p w14:paraId="3D02843C" w14:textId="77777777" w:rsidR="003042F6" w:rsidRPr="00D433E2" w:rsidRDefault="003042F6">
            <w:pPr>
              <w:pStyle w:val="TableParagraph"/>
              <w:rPr>
                <w:sz w:val="20"/>
              </w:rPr>
            </w:pPr>
          </w:p>
          <w:p w14:paraId="53E7E469" w14:textId="77777777" w:rsidR="00A46821" w:rsidRPr="00D433E2" w:rsidRDefault="00A46821">
            <w:pPr>
              <w:pStyle w:val="TableParagraph"/>
              <w:spacing w:before="1"/>
              <w:rPr>
                <w:sz w:val="16"/>
              </w:rPr>
            </w:pPr>
          </w:p>
          <w:p w14:paraId="74EF3566" w14:textId="77777777" w:rsidR="003042F6" w:rsidRDefault="003042F6">
            <w:pPr>
              <w:pStyle w:val="TableParagraph"/>
              <w:ind w:left="107" w:right="136"/>
              <w:rPr>
                <w:sz w:val="18"/>
              </w:rPr>
            </w:pPr>
          </w:p>
          <w:p w14:paraId="18EEBCB7" w14:textId="77777777" w:rsidR="003042F6" w:rsidRDefault="003042F6">
            <w:pPr>
              <w:pStyle w:val="TableParagraph"/>
              <w:ind w:left="107" w:right="136"/>
              <w:rPr>
                <w:sz w:val="18"/>
              </w:rPr>
            </w:pPr>
          </w:p>
          <w:p w14:paraId="023281D1" w14:textId="17E074D5" w:rsidR="00A46821" w:rsidRPr="00D433E2" w:rsidRDefault="0090416B">
            <w:pPr>
              <w:pStyle w:val="TableParagraph"/>
              <w:ind w:left="107" w:right="136"/>
              <w:rPr>
                <w:sz w:val="18"/>
              </w:rPr>
            </w:pPr>
            <w:r w:rsidRPr="00D433E2">
              <w:rPr>
                <w:sz w:val="18"/>
              </w:rPr>
              <w:t>Separate Health and Safety RA prepared and reviewed annually</w:t>
            </w:r>
          </w:p>
          <w:p w14:paraId="0775E502" w14:textId="77777777" w:rsidR="00A46821" w:rsidRPr="00D433E2" w:rsidRDefault="00A46821">
            <w:pPr>
              <w:pStyle w:val="TableParagraph"/>
              <w:rPr>
                <w:sz w:val="20"/>
              </w:rPr>
            </w:pPr>
          </w:p>
          <w:p w14:paraId="50DF3912" w14:textId="77777777" w:rsidR="00A46821" w:rsidRPr="00D433E2" w:rsidRDefault="00A46821">
            <w:pPr>
              <w:pStyle w:val="TableParagraph"/>
              <w:spacing w:before="10"/>
              <w:rPr>
                <w:sz w:val="29"/>
              </w:rPr>
            </w:pPr>
          </w:p>
          <w:p w14:paraId="0EA0436D" w14:textId="77777777" w:rsidR="00A46821" w:rsidRPr="00D433E2" w:rsidRDefault="00A46821">
            <w:pPr>
              <w:pStyle w:val="TableParagraph"/>
              <w:spacing w:line="242" w:lineRule="auto"/>
              <w:ind w:left="107" w:right="466"/>
              <w:rPr>
                <w:sz w:val="18"/>
              </w:rPr>
            </w:pPr>
          </w:p>
          <w:p w14:paraId="11A48364" w14:textId="77777777" w:rsidR="00937770" w:rsidRPr="00D433E2" w:rsidRDefault="00937770">
            <w:pPr>
              <w:pStyle w:val="TableParagraph"/>
              <w:spacing w:line="242" w:lineRule="auto"/>
              <w:ind w:left="107" w:right="466"/>
              <w:rPr>
                <w:sz w:val="18"/>
              </w:rPr>
            </w:pPr>
          </w:p>
          <w:p w14:paraId="1E9CE169" w14:textId="77777777" w:rsidR="00937770" w:rsidRPr="00D433E2" w:rsidRDefault="00937770">
            <w:pPr>
              <w:pStyle w:val="TableParagraph"/>
              <w:spacing w:line="242" w:lineRule="auto"/>
              <w:ind w:left="107" w:right="466"/>
              <w:rPr>
                <w:sz w:val="18"/>
              </w:rPr>
            </w:pPr>
          </w:p>
          <w:p w14:paraId="6BF3EB1D" w14:textId="77777777" w:rsidR="00937770" w:rsidRPr="00D433E2" w:rsidRDefault="00937770">
            <w:pPr>
              <w:pStyle w:val="TableParagraph"/>
              <w:spacing w:line="242" w:lineRule="auto"/>
              <w:ind w:left="107" w:right="466"/>
              <w:rPr>
                <w:sz w:val="18"/>
              </w:rPr>
            </w:pPr>
          </w:p>
          <w:p w14:paraId="2ECAE7F2" w14:textId="77777777" w:rsidR="00937770" w:rsidRPr="00D433E2" w:rsidRDefault="00937770">
            <w:pPr>
              <w:pStyle w:val="TableParagraph"/>
              <w:spacing w:line="242" w:lineRule="auto"/>
              <w:ind w:left="107" w:right="466"/>
              <w:rPr>
                <w:sz w:val="18"/>
              </w:rPr>
            </w:pPr>
          </w:p>
          <w:p w14:paraId="24E836CD" w14:textId="77777777" w:rsidR="00937770" w:rsidRPr="00D433E2" w:rsidRDefault="00937770">
            <w:pPr>
              <w:pStyle w:val="TableParagraph"/>
              <w:spacing w:line="242" w:lineRule="auto"/>
              <w:ind w:left="107" w:right="466"/>
              <w:rPr>
                <w:sz w:val="18"/>
              </w:rPr>
            </w:pPr>
          </w:p>
          <w:p w14:paraId="1E9D3BFC" w14:textId="7038E0C6" w:rsidR="00937770" w:rsidRPr="00D433E2" w:rsidRDefault="00937770">
            <w:pPr>
              <w:pStyle w:val="TableParagraph"/>
              <w:spacing w:line="242" w:lineRule="auto"/>
              <w:ind w:left="107" w:right="466"/>
              <w:rPr>
                <w:sz w:val="18"/>
              </w:rPr>
            </w:pPr>
            <w:r w:rsidRPr="00D433E2">
              <w:rPr>
                <w:sz w:val="18"/>
              </w:rPr>
              <w:t>All policies &amp; procedures reviewed annually</w:t>
            </w:r>
          </w:p>
        </w:tc>
      </w:tr>
    </w:tbl>
    <w:p w14:paraId="2122B6E9" w14:textId="77777777" w:rsidR="00A46821" w:rsidRDefault="00A46821">
      <w:pPr>
        <w:pStyle w:val="BodyText"/>
        <w:ind w:left="0"/>
      </w:pPr>
    </w:p>
    <w:p w14:paraId="4BCFBBE5" w14:textId="77777777" w:rsidR="00A46821" w:rsidRDefault="00A46821">
      <w:pPr>
        <w:pStyle w:val="BodyText"/>
        <w:spacing w:before="8"/>
        <w:ind w:left="0"/>
        <w:rPr>
          <w:sz w:val="19"/>
        </w:rPr>
      </w:pPr>
    </w:p>
    <w:sectPr w:rsidR="00A46821">
      <w:pgSz w:w="16840" w:h="11910" w:orient="landscape"/>
      <w:pgMar w:top="110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354AF"/>
    <w:multiLevelType w:val="hybridMultilevel"/>
    <w:tmpl w:val="266A221A"/>
    <w:lvl w:ilvl="0" w:tplc="8A78A53A">
      <w:start w:val="1"/>
      <w:numFmt w:val="decimal"/>
      <w:lvlText w:val="%1."/>
      <w:lvlJc w:val="left"/>
      <w:pPr>
        <w:ind w:left="107" w:hanging="202"/>
      </w:pPr>
      <w:rPr>
        <w:rFonts w:ascii="Arial" w:eastAsia="Arial" w:hAnsi="Arial" w:cs="Arial" w:hint="default"/>
        <w:w w:val="99"/>
        <w:sz w:val="18"/>
        <w:szCs w:val="18"/>
        <w:lang w:val="en-GB" w:eastAsia="en-GB" w:bidi="en-GB"/>
      </w:rPr>
    </w:lvl>
    <w:lvl w:ilvl="1" w:tplc="29BEB404">
      <w:numFmt w:val="bullet"/>
      <w:lvlText w:val="•"/>
      <w:lvlJc w:val="left"/>
      <w:pPr>
        <w:ind w:left="401" w:hanging="202"/>
      </w:pPr>
      <w:rPr>
        <w:rFonts w:hint="default"/>
        <w:lang w:val="en-GB" w:eastAsia="en-GB" w:bidi="en-GB"/>
      </w:rPr>
    </w:lvl>
    <w:lvl w:ilvl="2" w:tplc="827094E0">
      <w:numFmt w:val="bullet"/>
      <w:lvlText w:val="•"/>
      <w:lvlJc w:val="left"/>
      <w:pPr>
        <w:ind w:left="702" w:hanging="202"/>
      </w:pPr>
      <w:rPr>
        <w:rFonts w:hint="default"/>
        <w:lang w:val="en-GB" w:eastAsia="en-GB" w:bidi="en-GB"/>
      </w:rPr>
    </w:lvl>
    <w:lvl w:ilvl="3" w:tplc="E4F87A9C">
      <w:numFmt w:val="bullet"/>
      <w:lvlText w:val="•"/>
      <w:lvlJc w:val="left"/>
      <w:pPr>
        <w:ind w:left="1003" w:hanging="202"/>
      </w:pPr>
      <w:rPr>
        <w:rFonts w:hint="default"/>
        <w:lang w:val="en-GB" w:eastAsia="en-GB" w:bidi="en-GB"/>
      </w:rPr>
    </w:lvl>
    <w:lvl w:ilvl="4" w:tplc="0F522A80">
      <w:numFmt w:val="bullet"/>
      <w:lvlText w:val="•"/>
      <w:lvlJc w:val="left"/>
      <w:pPr>
        <w:ind w:left="1304" w:hanging="202"/>
      </w:pPr>
      <w:rPr>
        <w:rFonts w:hint="default"/>
        <w:lang w:val="en-GB" w:eastAsia="en-GB" w:bidi="en-GB"/>
      </w:rPr>
    </w:lvl>
    <w:lvl w:ilvl="5" w:tplc="E40A0DC4">
      <w:numFmt w:val="bullet"/>
      <w:lvlText w:val="•"/>
      <w:lvlJc w:val="left"/>
      <w:pPr>
        <w:ind w:left="1605" w:hanging="202"/>
      </w:pPr>
      <w:rPr>
        <w:rFonts w:hint="default"/>
        <w:lang w:val="en-GB" w:eastAsia="en-GB" w:bidi="en-GB"/>
      </w:rPr>
    </w:lvl>
    <w:lvl w:ilvl="6" w:tplc="815C2AA8">
      <w:numFmt w:val="bullet"/>
      <w:lvlText w:val="•"/>
      <w:lvlJc w:val="left"/>
      <w:pPr>
        <w:ind w:left="1906" w:hanging="202"/>
      </w:pPr>
      <w:rPr>
        <w:rFonts w:hint="default"/>
        <w:lang w:val="en-GB" w:eastAsia="en-GB" w:bidi="en-GB"/>
      </w:rPr>
    </w:lvl>
    <w:lvl w:ilvl="7" w:tplc="C9A0BA88">
      <w:numFmt w:val="bullet"/>
      <w:lvlText w:val="•"/>
      <w:lvlJc w:val="left"/>
      <w:pPr>
        <w:ind w:left="2207" w:hanging="202"/>
      </w:pPr>
      <w:rPr>
        <w:rFonts w:hint="default"/>
        <w:lang w:val="en-GB" w:eastAsia="en-GB" w:bidi="en-GB"/>
      </w:rPr>
    </w:lvl>
    <w:lvl w:ilvl="8" w:tplc="88A0F384">
      <w:numFmt w:val="bullet"/>
      <w:lvlText w:val="•"/>
      <w:lvlJc w:val="left"/>
      <w:pPr>
        <w:ind w:left="2508" w:hanging="202"/>
      </w:pPr>
      <w:rPr>
        <w:rFonts w:hint="default"/>
        <w:lang w:val="en-GB" w:eastAsia="en-GB" w:bidi="en-GB"/>
      </w:rPr>
    </w:lvl>
  </w:abstractNum>
  <w:abstractNum w:abstractNumId="1" w15:restartNumberingAfterBreak="0">
    <w:nsid w:val="4B5C427B"/>
    <w:multiLevelType w:val="hybridMultilevel"/>
    <w:tmpl w:val="4FC01182"/>
    <w:lvl w:ilvl="0" w:tplc="F9EEABB6">
      <w:start w:val="1"/>
      <w:numFmt w:val="decimal"/>
      <w:lvlText w:val="%1."/>
      <w:lvlJc w:val="left"/>
      <w:pPr>
        <w:ind w:left="107" w:hanging="252"/>
      </w:pPr>
      <w:rPr>
        <w:rFonts w:ascii="Arial" w:eastAsia="Arial" w:hAnsi="Arial" w:cs="Arial" w:hint="default"/>
        <w:w w:val="99"/>
        <w:sz w:val="18"/>
        <w:szCs w:val="18"/>
        <w:lang w:val="en-GB" w:eastAsia="en-GB" w:bidi="en-GB"/>
      </w:rPr>
    </w:lvl>
    <w:lvl w:ilvl="1" w:tplc="036EED00">
      <w:numFmt w:val="bullet"/>
      <w:lvlText w:val="•"/>
      <w:lvlJc w:val="left"/>
      <w:pPr>
        <w:ind w:left="401" w:hanging="252"/>
      </w:pPr>
      <w:rPr>
        <w:rFonts w:hint="default"/>
        <w:lang w:val="en-GB" w:eastAsia="en-GB" w:bidi="en-GB"/>
      </w:rPr>
    </w:lvl>
    <w:lvl w:ilvl="2" w:tplc="9C086F70">
      <w:numFmt w:val="bullet"/>
      <w:lvlText w:val="•"/>
      <w:lvlJc w:val="left"/>
      <w:pPr>
        <w:ind w:left="702" w:hanging="252"/>
      </w:pPr>
      <w:rPr>
        <w:rFonts w:hint="default"/>
        <w:lang w:val="en-GB" w:eastAsia="en-GB" w:bidi="en-GB"/>
      </w:rPr>
    </w:lvl>
    <w:lvl w:ilvl="3" w:tplc="8E969AEE">
      <w:numFmt w:val="bullet"/>
      <w:lvlText w:val="•"/>
      <w:lvlJc w:val="left"/>
      <w:pPr>
        <w:ind w:left="1003" w:hanging="252"/>
      </w:pPr>
      <w:rPr>
        <w:rFonts w:hint="default"/>
        <w:lang w:val="en-GB" w:eastAsia="en-GB" w:bidi="en-GB"/>
      </w:rPr>
    </w:lvl>
    <w:lvl w:ilvl="4" w:tplc="173A8AF4">
      <w:numFmt w:val="bullet"/>
      <w:lvlText w:val="•"/>
      <w:lvlJc w:val="left"/>
      <w:pPr>
        <w:ind w:left="1304" w:hanging="252"/>
      </w:pPr>
      <w:rPr>
        <w:rFonts w:hint="default"/>
        <w:lang w:val="en-GB" w:eastAsia="en-GB" w:bidi="en-GB"/>
      </w:rPr>
    </w:lvl>
    <w:lvl w:ilvl="5" w:tplc="283E33BC">
      <w:numFmt w:val="bullet"/>
      <w:lvlText w:val="•"/>
      <w:lvlJc w:val="left"/>
      <w:pPr>
        <w:ind w:left="1605" w:hanging="252"/>
      </w:pPr>
      <w:rPr>
        <w:rFonts w:hint="default"/>
        <w:lang w:val="en-GB" w:eastAsia="en-GB" w:bidi="en-GB"/>
      </w:rPr>
    </w:lvl>
    <w:lvl w:ilvl="6" w:tplc="3FF06682">
      <w:numFmt w:val="bullet"/>
      <w:lvlText w:val="•"/>
      <w:lvlJc w:val="left"/>
      <w:pPr>
        <w:ind w:left="1906" w:hanging="252"/>
      </w:pPr>
      <w:rPr>
        <w:rFonts w:hint="default"/>
        <w:lang w:val="en-GB" w:eastAsia="en-GB" w:bidi="en-GB"/>
      </w:rPr>
    </w:lvl>
    <w:lvl w:ilvl="7" w:tplc="0812DB8A">
      <w:numFmt w:val="bullet"/>
      <w:lvlText w:val="•"/>
      <w:lvlJc w:val="left"/>
      <w:pPr>
        <w:ind w:left="2207" w:hanging="252"/>
      </w:pPr>
      <w:rPr>
        <w:rFonts w:hint="default"/>
        <w:lang w:val="en-GB" w:eastAsia="en-GB" w:bidi="en-GB"/>
      </w:rPr>
    </w:lvl>
    <w:lvl w:ilvl="8" w:tplc="E6526E94">
      <w:numFmt w:val="bullet"/>
      <w:lvlText w:val="•"/>
      <w:lvlJc w:val="left"/>
      <w:pPr>
        <w:ind w:left="2508" w:hanging="252"/>
      </w:pPr>
      <w:rPr>
        <w:rFonts w:hint="default"/>
        <w:lang w:val="en-GB" w:eastAsia="en-GB" w:bidi="en-GB"/>
      </w:rPr>
    </w:lvl>
  </w:abstractNum>
  <w:abstractNum w:abstractNumId="2" w15:restartNumberingAfterBreak="0">
    <w:nsid w:val="4B6D484B"/>
    <w:multiLevelType w:val="hybridMultilevel"/>
    <w:tmpl w:val="2D580FC0"/>
    <w:lvl w:ilvl="0" w:tplc="A260EDBA">
      <w:start w:val="2"/>
      <w:numFmt w:val="decimal"/>
      <w:lvlText w:val="%1."/>
      <w:lvlJc w:val="left"/>
      <w:pPr>
        <w:ind w:left="107" w:hanging="202"/>
      </w:pPr>
      <w:rPr>
        <w:rFonts w:ascii="Arial" w:eastAsia="Arial" w:hAnsi="Arial" w:cs="Arial" w:hint="default"/>
        <w:w w:val="99"/>
        <w:sz w:val="18"/>
        <w:szCs w:val="18"/>
        <w:lang w:val="en-GB" w:eastAsia="en-GB" w:bidi="en-GB"/>
      </w:rPr>
    </w:lvl>
    <w:lvl w:ilvl="1" w:tplc="7E40F208">
      <w:numFmt w:val="bullet"/>
      <w:lvlText w:val="•"/>
      <w:lvlJc w:val="left"/>
      <w:pPr>
        <w:ind w:left="401" w:hanging="202"/>
      </w:pPr>
      <w:rPr>
        <w:rFonts w:hint="default"/>
        <w:lang w:val="en-GB" w:eastAsia="en-GB" w:bidi="en-GB"/>
      </w:rPr>
    </w:lvl>
    <w:lvl w:ilvl="2" w:tplc="BC14C752">
      <w:numFmt w:val="bullet"/>
      <w:lvlText w:val="•"/>
      <w:lvlJc w:val="left"/>
      <w:pPr>
        <w:ind w:left="702" w:hanging="202"/>
      </w:pPr>
      <w:rPr>
        <w:rFonts w:hint="default"/>
        <w:lang w:val="en-GB" w:eastAsia="en-GB" w:bidi="en-GB"/>
      </w:rPr>
    </w:lvl>
    <w:lvl w:ilvl="3" w:tplc="516E4748">
      <w:numFmt w:val="bullet"/>
      <w:lvlText w:val="•"/>
      <w:lvlJc w:val="left"/>
      <w:pPr>
        <w:ind w:left="1003" w:hanging="202"/>
      </w:pPr>
      <w:rPr>
        <w:rFonts w:hint="default"/>
        <w:lang w:val="en-GB" w:eastAsia="en-GB" w:bidi="en-GB"/>
      </w:rPr>
    </w:lvl>
    <w:lvl w:ilvl="4" w:tplc="EF229EA4">
      <w:numFmt w:val="bullet"/>
      <w:lvlText w:val="•"/>
      <w:lvlJc w:val="left"/>
      <w:pPr>
        <w:ind w:left="1304" w:hanging="202"/>
      </w:pPr>
      <w:rPr>
        <w:rFonts w:hint="default"/>
        <w:lang w:val="en-GB" w:eastAsia="en-GB" w:bidi="en-GB"/>
      </w:rPr>
    </w:lvl>
    <w:lvl w:ilvl="5" w:tplc="74D0BC0C">
      <w:numFmt w:val="bullet"/>
      <w:lvlText w:val="•"/>
      <w:lvlJc w:val="left"/>
      <w:pPr>
        <w:ind w:left="1605" w:hanging="202"/>
      </w:pPr>
      <w:rPr>
        <w:rFonts w:hint="default"/>
        <w:lang w:val="en-GB" w:eastAsia="en-GB" w:bidi="en-GB"/>
      </w:rPr>
    </w:lvl>
    <w:lvl w:ilvl="6" w:tplc="C5E45D28">
      <w:numFmt w:val="bullet"/>
      <w:lvlText w:val="•"/>
      <w:lvlJc w:val="left"/>
      <w:pPr>
        <w:ind w:left="1906" w:hanging="202"/>
      </w:pPr>
      <w:rPr>
        <w:rFonts w:hint="default"/>
        <w:lang w:val="en-GB" w:eastAsia="en-GB" w:bidi="en-GB"/>
      </w:rPr>
    </w:lvl>
    <w:lvl w:ilvl="7" w:tplc="56A463B8">
      <w:numFmt w:val="bullet"/>
      <w:lvlText w:val="•"/>
      <w:lvlJc w:val="left"/>
      <w:pPr>
        <w:ind w:left="2207" w:hanging="202"/>
      </w:pPr>
      <w:rPr>
        <w:rFonts w:hint="default"/>
        <w:lang w:val="en-GB" w:eastAsia="en-GB" w:bidi="en-GB"/>
      </w:rPr>
    </w:lvl>
    <w:lvl w:ilvl="8" w:tplc="21F6637A">
      <w:numFmt w:val="bullet"/>
      <w:lvlText w:val="•"/>
      <w:lvlJc w:val="left"/>
      <w:pPr>
        <w:ind w:left="2508" w:hanging="202"/>
      </w:pPr>
      <w:rPr>
        <w:rFonts w:hint="default"/>
        <w:lang w:val="en-GB" w:eastAsia="en-GB" w:bidi="en-GB"/>
      </w:rPr>
    </w:lvl>
  </w:abstractNum>
  <w:abstractNum w:abstractNumId="3" w15:restartNumberingAfterBreak="0">
    <w:nsid w:val="67237633"/>
    <w:multiLevelType w:val="hybridMultilevel"/>
    <w:tmpl w:val="92EAB44A"/>
    <w:lvl w:ilvl="0" w:tplc="261AFA3E">
      <w:numFmt w:val="bullet"/>
      <w:lvlText w:val=""/>
      <w:lvlJc w:val="left"/>
      <w:pPr>
        <w:ind w:left="827" w:hanging="360"/>
      </w:pPr>
      <w:rPr>
        <w:rFonts w:ascii="Symbol" w:eastAsia="Symbol" w:hAnsi="Symbol" w:cs="Symbol" w:hint="default"/>
        <w:w w:val="100"/>
        <w:sz w:val="18"/>
        <w:szCs w:val="18"/>
        <w:lang w:val="en-GB" w:eastAsia="en-GB" w:bidi="en-GB"/>
      </w:rPr>
    </w:lvl>
    <w:lvl w:ilvl="1" w:tplc="AFF03818">
      <w:numFmt w:val="bullet"/>
      <w:lvlText w:val="•"/>
      <w:lvlJc w:val="left"/>
      <w:pPr>
        <w:ind w:left="1222" w:hanging="360"/>
      </w:pPr>
      <w:rPr>
        <w:rFonts w:hint="default"/>
        <w:lang w:val="en-GB" w:eastAsia="en-GB" w:bidi="en-GB"/>
      </w:rPr>
    </w:lvl>
    <w:lvl w:ilvl="2" w:tplc="60C2826E">
      <w:numFmt w:val="bullet"/>
      <w:lvlText w:val="•"/>
      <w:lvlJc w:val="left"/>
      <w:pPr>
        <w:ind w:left="1624" w:hanging="360"/>
      </w:pPr>
      <w:rPr>
        <w:rFonts w:hint="default"/>
        <w:lang w:val="en-GB" w:eastAsia="en-GB" w:bidi="en-GB"/>
      </w:rPr>
    </w:lvl>
    <w:lvl w:ilvl="3" w:tplc="4AD407FE">
      <w:numFmt w:val="bullet"/>
      <w:lvlText w:val="•"/>
      <w:lvlJc w:val="left"/>
      <w:pPr>
        <w:ind w:left="2026" w:hanging="360"/>
      </w:pPr>
      <w:rPr>
        <w:rFonts w:hint="default"/>
        <w:lang w:val="en-GB" w:eastAsia="en-GB" w:bidi="en-GB"/>
      </w:rPr>
    </w:lvl>
    <w:lvl w:ilvl="4" w:tplc="07163E5E">
      <w:numFmt w:val="bullet"/>
      <w:lvlText w:val="•"/>
      <w:lvlJc w:val="left"/>
      <w:pPr>
        <w:ind w:left="2429" w:hanging="360"/>
      </w:pPr>
      <w:rPr>
        <w:rFonts w:hint="default"/>
        <w:lang w:val="en-GB" w:eastAsia="en-GB" w:bidi="en-GB"/>
      </w:rPr>
    </w:lvl>
    <w:lvl w:ilvl="5" w:tplc="F1D29F20">
      <w:numFmt w:val="bullet"/>
      <w:lvlText w:val="•"/>
      <w:lvlJc w:val="left"/>
      <w:pPr>
        <w:ind w:left="2831" w:hanging="360"/>
      </w:pPr>
      <w:rPr>
        <w:rFonts w:hint="default"/>
        <w:lang w:val="en-GB" w:eastAsia="en-GB" w:bidi="en-GB"/>
      </w:rPr>
    </w:lvl>
    <w:lvl w:ilvl="6" w:tplc="3794A986">
      <w:numFmt w:val="bullet"/>
      <w:lvlText w:val="•"/>
      <w:lvlJc w:val="left"/>
      <w:pPr>
        <w:ind w:left="3233" w:hanging="360"/>
      </w:pPr>
      <w:rPr>
        <w:rFonts w:hint="default"/>
        <w:lang w:val="en-GB" w:eastAsia="en-GB" w:bidi="en-GB"/>
      </w:rPr>
    </w:lvl>
    <w:lvl w:ilvl="7" w:tplc="28B4D6AA">
      <w:numFmt w:val="bullet"/>
      <w:lvlText w:val="•"/>
      <w:lvlJc w:val="left"/>
      <w:pPr>
        <w:ind w:left="3636" w:hanging="360"/>
      </w:pPr>
      <w:rPr>
        <w:rFonts w:hint="default"/>
        <w:lang w:val="en-GB" w:eastAsia="en-GB" w:bidi="en-GB"/>
      </w:rPr>
    </w:lvl>
    <w:lvl w:ilvl="8" w:tplc="CA607C42">
      <w:numFmt w:val="bullet"/>
      <w:lvlText w:val="•"/>
      <w:lvlJc w:val="left"/>
      <w:pPr>
        <w:ind w:left="4038" w:hanging="360"/>
      </w:pPr>
      <w:rPr>
        <w:rFonts w:hint="default"/>
        <w:lang w:val="en-GB" w:eastAsia="en-GB" w:bidi="en-GB"/>
      </w:rPr>
    </w:lvl>
  </w:abstractNum>
  <w:num w:numId="1" w16cid:durableId="2084448170">
    <w:abstractNumId w:val="0"/>
  </w:num>
  <w:num w:numId="2" w16cid:durableId="153306784">
    <w:abstractNumId w:val="2"/>
  </w:num>
  <w:num w:numId="3" w16cid:durableId="176694385">
    <w:abstractNumId w:val="3"/>
  </w:num>
  <w:num w:numId="4" w16cid:durableId="208028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21"/>
    <w:rsid w:val="003042F6"/>
    <w:rsid w:val="0034227B"/>
    <w:rsid w:val="004E257B"/>
    <w:rsid w:val="005476B5"/>
    <w:rsid w:val="00631A65"/>
    <w:rsid w:val="0081609F"/>
    <w:rsid w:val="0090416B"/>
    <w:rsid w:val="00937770"/>
    <w:rsid w:val="009F024F"/>
    <w:rsid w:val="00A46821"/>
    <w:rsid w:val="00BA5C68"/>
    <w:rsid w:val="00D433E2"/>
    <w:rsid w:val="00D568AA"/>
    <w:rsid w:val="00D75A1B"/>
    <w:rsid w:val="00DF79E4"/>
    <w:rsid w:val="00F7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2FC0"/>
  <w15:docId w15:val="{9A8C2FBC-206A-4718-B823-C934F89A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44"/>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2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27B"/>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rpc</dc:creator>
  <cp:lastModifiedBy>Lesley Shaw</cp:lastModifiedBy>
  <cp:revision>2</cp:revision>
  <cp:lastPrinted>2019-01-02T12:27:00Z</cp:lastPrinted>
  <dcterms:created xsi:type="dcterms:W3CDTF">2024-04-18T16:10:00Z</dcterms:created>
  <dcterms:modified xsi:type="dcterms:W3CDTF">2024-04-18T16:10:00Z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2016-02-15T00:00:00Z</vt:filetime>
  </property>
  <property fmtid="{D5CDD505-2E9C-101B-9397-08002B2CF9AE}" pid="3" name="Creator">
    <vt:lpwstr>Microsoft® Word 2010</vt:lpwstr>
  </property>
  <property fmtid="{D5CDD505-2E9C-101B-9397-08002B2CF9AE}" pid="4" name="LastSaved">
    <vt:filetime>2018-01-15T00:00:00Z</vt:filetime>
  </property>
</Properties>
</file>